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Theme="minorEastAsia" w:hAnsiTheme="minorEastAsia" w:eastAsiaTheme="minorEastAsia" w:cstheme="minorEastAsia"/>
          <w:b/>
          <w:bCs/>
          <w:color w:val="auto"/>
          <w:sz w:val="56"/>
          <w:szCs w:val="84"/>
          <w:highlight w:val="none"/>
        </w:rPr>
      </w:pPr>
      <w:r>
        <w:rPr>
          <w:rFonts w:hint="eastAsia" w:asciiTheme="minorEastAsia" w:hAnsiTheme="minorEastAsia" w:eastAsiaTheme="minorEastAsia" w:cstheme="minorEastAsia"/>
          <w:b/>
          <w:bCs/>
          <w:color w:val="auto"/>
          <w:sz w:val="56"/>
          <w:szCs w:val="84"/>
          <w:highlight w:val="none"/>
        </w:rPr>
      </w:r>
      <w:r/>
    </w:p>
    <w:p>
      <w:pPr>
        <w:jc w:val="center"/>
        <w:spacing w:line="360" w:lineRule="auto"/>
        <w:widowControl/>
        <w:rPr>
          <w:rFonts w:hint="eastAsia" w:asciiTheme="minorEastAsia" w:hAnsiTheme="minorEastAsia" w:eastAsiaTheme="minorEastAsia" w:cstheme="minorEastAsia"/>
          <w:b/>
          <w:color w:val="auto"/>
          <w:sz w:val="80"/>
          <w:szCs w:val="80"/>
          <w:highlight w:val="none"/>
        </w:rPr>
      </w:pPr>
      <w:r>
        <w:rPr>
          <w:rFonts w:hint="eastAsia" w:asciiTheme="minorEastAsia" w:hAnsiTheme="minorEastAsia" w:eastAsiaTheme="minorEastAsia" w:cstheme="minorEastAsia"/>
          <w:b/>
          <w:color w:val="auto"/>
          <w:sz w:val="80"/>
          <w:szCs w:val="80"/>
          <w:highlight w:val="none"/>
        </w:rPr>
      </w:r>
      <w:r/>
    </w:p>
    <w:p>
      <w:pPr>
        <w:jc w:val="center"/>
        <w:spacing w:line="360" w:lineRule="auto"/>
        <w:widowControl/>
        <w:rPr>
          <w:rFonts w:hint="eastAsia" w:asciiTheme="minorEastAsia" w:hAnsiTheme="minorEastAsia" w:eastAsiaTheme="minorEastAsia" w:cstheme="minorEastAsia"/>
          <w:b/>
          <w:bCs/>
          <w:color w:val="auto"/>
          <w:sz w:val="92"/>
          <w:szCs w:val="92"/>
          <w:highlight w:val="none"/>
        </w:rPr>
      </w:pPr>
      <w:r>
        <w:rPr>
          <w:rFonts w:hint="eastAsia" w:asciiTheme="minorEastAsia" w:hAnsiTheme="minorEastAsia" w:eastAsiaTheme="minorEastAsia" w:cstheme="minorEastAsia"/>
          <w:b/>
          <w:color w:val="auto"/>
          <w:sz w:val="92"/>
          <w:szCs w:val="92"/>
          <w:highlight w:val="none"/>
        </w:rPr>
        <w:t xml:space="preserve">苏州吴江区政府采购</w:t>
      </w:r>
      <w:r/>
    </w:p>
    <w:p>
      <w:pPr>
        <w:jc w:val="center"/>
        <w:spacing w:line="360" w:lineRule="auto"/>
        <w:widowControl/>
        <w:rPr>
          <w:rFonts w:hint="eastAsia" w:asciiTheme="minorEastAsia" w:hAnsiTheme="minorEastAsia" w:eastAsiaTheme="minorEastAsia" w:cstheme="minorEastAsia"/>
          <w:b/>
          <w:bCs/>
          <w:color w:val="auto"/>
          <w:sz w:val="96"/>
          <w:szCs w:val="84"/>
          <w:highlight w:val="none"/>
        </w:rPr>
      </w:pPr>
      <w:r>
        <w:rPr>
          <w:rFonts w:hint="eastAsia" w:asciiTheme="minorEastAsia" w:hAnsiTheme="minorEastAsia" w:eastAsiaTheme="minorEastAsia" w:cstheme="minorEastAsia"/>
          <w:b/>
          <w:bCs/>
          <w:color w:val="auto"/>
          <w:sz w:val="92"/>
          <w:szCs w:val="92"/>
          <w:highlight w:val="none"/>
        </w:rPr>
        <w:t xml:space="preserve">招  标  文  件</w:t>
      </w:r>
      <w:r/>
    </w:p>
    <w:p>
      <w:pPr>
        <w:jc w:val="center"/>
        <w:spacing w:line="360" w:lineRule="auto"/>
        <w:widowControl/>
        <w:rPr>
          <w:rFonts w:hint="eastAsia" w:asciiTheme="minorEastAsia" w:hAnsiTheme="minorEastAsia" w:eastAsiaTheme="minorEastAsia" w:cstheme="minorEastAsia"/>
          <w:b/>
          <w:bCs/>
          <w:color w:val="auto"/>
          <w:sz w:val="56"/>
          <w:szCs w:val="84"/>
          <w:highlight w:val="none"/>
        </w:rPr>
      </w:pPr>
      <w:r>
        <w:rPr>
          <w:rFonts w:hint="eastAsia" w:asciiTheme="minorEastAsia" w:hAnsiTheme="minorEastAsia" w:eastAsiaTheme="minorEastAsia" w:cstheme="minorEastAsia"/>
          <w:b/>
          <w:bCs/>
          <w:color w:val="auto"/>
          <w:sz w:val="56"/>
          <w:szCs w:val="84"/>
          <w:highlight w:val="none"/>
        </w:rPr>
      </w:r>
      <w:r/>
    </w:p>
    <w:p>
      <w:pPr>
        <w:ind w:left="1680" w:right="840"/>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ind w:right="840" w:firstLine="964"/>
        <w:spacing w:line="360" w:lineRule="auto"/>
        <w:rPr>
          <w:rFonts w:hint="eastAsia" w:asciiTheme="minorEastAsia" w:hAnsiTheme="minorEastAsia" w:eastAsiaTheme="minorEastAsia" w:cstheme="minorEastAsia"/>
          <w:b/>
          <w:color w:val="auto"/>
          <w:sz w:val="32"/>
          <w:szCs w:val="32"/>
          <w:highlight w:val="none"/>
          <w:lang w:eastAsia="zh-CN"/>
        </w:rPr>
      </w:pPr>
      <w:r>
        <w:rPr>
          <w:rFonts w:hint="eastAsia" w:asciiTheme="minorEastAsia" w:hAnsiTheme="minorEastAsia" w:eastAsiaTheme="minorEastAsia" w:cstheme="minorEastAsia"/>
          <w:b/>
          <w:color w:val="auto"/>
          <w:sz w:val="32"/>
          <w:szCs w:val="32"/>
          <w:highlight w:val="none"/>
        </w:rPr>
        <w:t xml:space="preserve">采购编号：</w:t>
      </w:r>
      <w:r>
        <w:rPr>
          <w:rFonts w:hint="eastAsia" w:asciiTheme="minorEastAsia" w:hAnsiTheme="minorEastAsia" w:eastAsiaTheme="minorEastAsia" w:cstheme="minorEastAsia"/>
          <w:b/>
          <w:color w:val="auto"/>
          <w:sz w:val="32"/>
          <w:szCs w:val="32"/>
          <w:highlight w:val="none"/>
          <w:lang w:eastAsia="zh-CN"/>
        </w:rPr>
        <w:t xml:space="preserve">JSZC-320509-SWGC-G2026-0065</w:t>
      </w:r>
      <w:r/>
    </w:p>
    <w:p>
      <w:pPr>
        <w:ind w:left="2564" w:right="840" w:hanging="1606"/>
        <w:spacing w:line="360" w:lineRule="auto"/>
        <w:rPr>
          <w:rFonts w:hint="eastAsia" w:asciiTheme="minorEastAsia" w:hAnsiTheme="minorEastAsia" w:eastAsia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2"/>
          <w:szCs w:val="32"/>
          <w:highlight w:val="none"/>
        </w:rPr>
        <w:t xml:space="preserve">采购内容：</w:t>
      </w:r>
      <w:r>
        <w:rPr>
          <w:rFonts w:hint="eastAsia" w:asciiTheme="minorEastAsia" w:hAnsiTheme="minorEastAsia" w:eastAsiaTheme="minorEastAsia" w:cstheme="minorEastAsia"/>
          <w:b/>
          <w:color w:val="auto"/>
          <w:sz w:val="30"/>
          <w:szCs w:val="30"/>
          <w:highlight w:val="none"/>
          <w:lang w:eastAsia="zh-CN"/>
        </w:rPr>
        <w:t xml:space="preserve">2026年管线普查及数据升级项目</w:t>
      </w:r>
      <w:r/>
    </w:p>
    <w:p>
      <w:pPr>
        <w:ind w:right="840" w:firstLine="964"/>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采购单位：</w:t>
      </w:r>
      <w:r>
        <w:rPr>
          <w:rFonts w:hint="eastAsia" w:asciiTheme="minorEastAsia" w:hAnsiTheme="minorEastAsia" w:eastAsiaTheme="minorEastAsia" w:cstheme="minorEastAsia"/>
          <w:b/>
          <w:color w:val="auto"/>
          <w:sz w:val="32"/>
          <w:szCs w:val="32"/>
          <w:highlight w:val="none"/>
          <w:lang w:eastAsia="zh-CN"/>
        </w:rPr>
        <w:t xml:space="preserve">苏州市吴江区自然资源和规划局</w:t>
      </w:r>
      <w:r>
        <w:rPr>
          <w:rFonts w:hint="eastAsia" w:asciiTheme="minorEastAsia" w:hAnsiTheme="minorEastAsia" w:eastAsiaTheme="minorEastAsia" w:cstheme="minorEastAsia"/>
          <w:b/>
          <w:color w:val="auto"/>
          <w:sz w:val="32"/>
          <w:szCs w:val="32"/>
          <w:highlight w:val="none"/>
        </w:rPr>
        <w:t xml:space="preserve"> </w:t>
      </w:r>
      <w:r/>
    </w:p>
    <w:p>
      <w:pPr>
        <w:ind w:right="840" w:firstLine="964"/>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采购类别：服务类</w:t>
      </w:r>
      <w:r/>
    </w:p>
    <w:p>
      <w:pPr>
        <w:jc w:val="center"/>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center"/>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center"/>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center"/>
        <w:spacing w:line="360" w:lineRule="auto"/>
        <w:rPr>
          <w:rFonts w:hint="eastAsia" w:asciiTheme="minorEastAsia" w:hAnsiTheme="minorEastAsia" w:eastAsiaTheme="minorEastAsia" w:cstheme="minorEastAsia"/>
          <w:b/>
          <w:color w:val="auto"/>
          <w:sz w:val="32"/>
          <w:highlight w:val="none"/>
        </w:rPr>
      </w:pPr>
      <w:r>
        <w:rPr>
          <w:rFonts w:hint="eastAsia" w:asciiTheme="minorEastAsia" w:hAnsiTheme="minorEastAsia" w:eastAsiaTheme="minorEastAsia" w:cstheme="minorEastAsia"/>
          <w:b/>
          <w:color w:val="auto"/>
          <w:sz w:val="32"/>
          <w:highlight w:val="none"/>
        </w:rPr>
        <w:t xml:space="preserve">江苏苏维工程管理有限公司</w:t>
      </w:r>
      <w:r/>
    </w:p>
    <w:p>
      <w:pPr>
        <w:jc w:val="center"/>
        <w:spacing w:line="360" w:lineRule="auto"/>
        <w:rPr>
          <w:rFonts w:hint="eastAsia" w:asciiTheme="minorEastAsia" w:hAnsiTheme="minorEastAsia" w:eastAsiaTheme="minorEastAsia" w:cstheme="minorEastAsia"/>
          <w:b/>
          <w:color w:val="auto"/>
          <w:sz w:val="32"/>
          <w:highlight w:val="none"/>
        </w:rPr>
      </w:pPr>
      <w:r>
        <w:rPr>
          <w:rFonts w:hint="eastAsia" w:asciiTheme="minorEastAsia" w:hAnsiTheme="minorEastAsia" w:eastAsiaTheme="minorEastAsia" w:cstheme="minorEastAsia"/>
          <w:b/>
          <w:color w:val="auto"/>
          <w:sz w:val="32"/>
          <w:highlight w:val="none"/>
          <w:lang w:eastAsia="zh-CN"/>
        </w:rPr>
        <w:t xml:space="preserve">二〇二六</w:t>
      </w:r>
      <w:r>
        <w:rPr>
          <w:rFonts w:hint="eastAsia" w:asciiTheme="minorEastAsia" w:hAnsiTheme="minorEastAsia" w:eastAsiaTheme="minorEastAsia" w:cstheme="minorEastAsia"/>
          <w:b/>
          <w:color w:val="auto"/>
          <w:sz w:val="32"/>
          <w:highlight w:val="none"/>
        </w:rPr>
        <w:t xml:space="preserve">年</w:t>
      </w:r>
      <w:r>
        <w:rPr>
          <w:rFonts w:hint="eastAsia" w:asciiTheme="minorEastAsia" w:hAnsiTheme="minorEastAsia" w:eastAsiaTheme="minorEastAsia" w:cstheme="minorEastAsia"/>
          <w:b/>
          <w:color w:val="auto"/>
          <w:sz w:val="32"/>
          <w:highlight w:val="none"/>
          <w:lang w:val="en-US" w:eastAsia="zh-CN"/>
        </w:rPr>
        <w:t xml:space="preserve">五</w:t>
      </w:r>
      <w:r>
        <w:rPr>
          <w:rFonts w:hint="eastAsia" w:asciiTheme="minorEastAsia" w:hAnsiTheme="minorEastAsia" w:eastAsiaTheme="minorEastAsia" w:cstheme="minorEastAsia"/>
          <w:b/>
          <w:color w:val="auto"/>
          <w:sz w:val="32"/>
          <w:highlight w:val="none"/>
        </w:rPr>
        <w:t xml:space="preserve">月</w:t>
      </w:r>
      <w:r/>
    </w:p>
    <w:p>
      <w:pPr>
        <w:jc w:val="center"/>
        <w:spacing w:line="360" w:lineRule="auto"/>
        <w:rPr>
          <w:rFonts w:hint="eastAsia" w:asciiTheme="minorEastAsia" w:hAnsiTheme="minorEastAsia" w:eastAsiaTheme="minorEastAsia" w:cstheme="minorEastAsia"/>
          <w:b/>
          <w:color w:val="auto"/>
          <w:sz w:val="32"/>
          <w:szCs w:val="32"/>
          <w:highlight w:val="none"/>
        </w:rPr>
        <w:outlineLvl w:val="0"/>
      </w:pPr>
      <w:r>
        <w:rPr>
          <w:rFonts w:hint="eastAsia" w:asciiTheme="minorEastAsia" w:hAnsiTheme="minorEastAsia" w:eastAsiaTheme="minorEastAsia" w:cstheme="minorEastAsia"/>
          <w:color w:val="auto"/>
          <w:sz w:val="32"/>
          <w:szCs w:val="32"/>
          <w:highlight w:val="none"/>
        </w:rPr>
        <w:br w:type="page" w:clear="all"/>
      </w:r>
      <w:bookmarkStart w:id="0" w:name="_Toc492294162"/>
      <w:r>
        <w:rPr>
          <w:rFonts w:hint="eastAsia" w:asciiTheme="minorEastAsia" w:hAnsiTheme="minorEastAsia" w:eastAsiaTheme="minorEastAsia" w:cstheme="minorEastAsia"/>
          <w:b/>
          <w:color w:val="auto"/>
          <w:sz w:val="32"/>
          <w:szCs w:val="32"/>
          <w:highlight w:val="none"/>
        </w:rPr>
        <w:t xml:space="preserve">前附表</w:t>
      </w:r>
      <w:bookmarkEnd w:id="0"/>
      <w:r/>
      <w:r/>
    </w:p>
    <w:tbl>
      <w:tblPr>
        <w:tblStyle w:val="952"/>
        <w:tblW w:w="995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24"/>
        <w:gridCol w:w="2103"/>
        <w:gridCol w:w="7124"/>
      </w:tblGrid>
      <w:tr>
        <w:trPr>
          <w:jc w:val="center"/>
          <w:trHeight w:val="340"/>
          <w:tblHeader/>
        </w:trPr>
        <w:tc>
          <w:tcPr>
            <w:tcW w:w="724" w:type="dxa"/>
            <w:vAlign w:val="center"/>
            <w:textDirection w:val="lrTb"/>
            <w:noWrap w:val="false"/>
          </w:tcPr>
          <w:p>
            <w:pPr>
              <w:jc w:val="center"/>
              <w:spacing w:line="320" w:lineRule="exact"/>
              <w:rPr>
                <w:rFonts w:hint="eastAsia" w:asciiTheme="minorEastAsia" w:hAnsiTheme="minorEastAsia" w:eastAsiaTheme="minorEastAsia" w:cstheme="minorEastAsia"/>
                <w:b/>
                <w:color w:val="auto"/>
                <w:sz w:val="21"/>
                <w:szCs w:val="21"/>
                <w:highlight w:val="none"/>
                <w:lang w:eastAsia="en-US"/>
              </w:rPr>
            </w:pPr>
            <w:r>
              <w:rPr>
                <w:rFonts w:hint="eastAsia" w:asciiTheme="minorEastAsia" w:hAnsiTheme="minorEastAsia" w:eastAsiaTheme="minorEastAsia" w:cstheme="minorEastAsia"/>
                <w:b/>
                <w:color w:val="auto"/>
                <w:sz w:val="21"/>
                <w:szCs w:val="21"/>
                <w:highlight w:val="none"/>
                <w:lang w:eastAsia="en-US"/>
              </w:rPr>
              <w:t xml:space="preserve">序号</w:t>
            </w:r>
            <w:r/>
          </w:p>
        </w:tc>
        <w:tc>
          <w:tcPr>
            <w:tcW w:w="2103" w:type="dxa"/>
            <w:vAlign w:val="center"/>
            <w:textDirection w:val="lrTb"/>
            <w:noWrap w:val="false"/>
          </w:tcPr>
          <w:p>
            <w:pPr>
              <w:jc w:val="center"/>
              <w:spacing w:line="320" w:lineRule="exact"/>
              <w:rPr>
                <w:rFonts w:hint="eastAsia" w:asciiTheme="minorEastAsia" w:hAnsiTheme="minorEastAsia" w:eastAsiaTheme="minorEastAsia" w:cstheme="minorEastAsia"/>
                <w:b/>
                <w:color w:val="auto"/>
                <w:sz w:val="21"/>
                <w:szCs w:val="21"/>
                <w:highlight w:val="none"/>
                <w:lang w:eastAsia="en-US"/>
              </w:rPr>
            </w:pPr>
            <w:r>
              <w:rPr>
                <w:rFonts w:hint="eastAsia" w:asciiTheme="minorEastAsia" w:hAnsiTheme="minorEastAsia" w:eastAsiaTheme="minorEastAsia" w:cstheme="minorEastAsia"/>
                <w:b/>
                <w:color w:val="auto"/>
                <w:sz w:val="21"/>
                <w:szCs w:val="21"/>
                <w:highlight w:val="none"/>
                <w:lang w:eastAsia="en-US"/>
              </w:rPr>
              <w:t xml:space="preserve">名  称</w:t>
            </w:r>
            <w:r/>
          </w:p>
        </w:tc>
        <w:tc>
          <w:tcPr>
            <w:tcW w:w="7124" w:type="dxa"/>
            <w:vAlign w:val="center"/>
            <w:textDirection w:val="lrTb"/>
            <w:noWrap w:val="false"/>
          </w:tcPr>
          <w:p>
            <w:pPr>
              <w:jc w:val="center"/>
              <w:spacing w:line="320" w:lineRule="exact"/>
              <w:rPr>
                <w:rFonts w:hint="eastAsia" w:asciiTheme="minorEastAsia" w:hAnsiTheme="minorEastAsia" w:eastAsiaTheme="minorEastAsia" w:cstheme="minorEastAsia"/>
                <w:b/>
                <w:color w:val="auto"/>
                <w:sz w:val="21"/>
                <w:szCs w:val="21"/>
                <w:highlight w:val="none"/>
                <w:lang w:eastAsia="en-US"/>
              </w:rPr>
            </w:pPr>
            <w:r>
              <w:rPr>
                <w:rFonts w:hint="eastAsia" w:asciiTheme="minorEastAsia" w:hAnsiTheme="minorEastAsia" w:eastAsiaTheme="minorEastAsia" w:cstheme="minorEastAsia"/>
                <w:b/>
                <w:color w:val="auto"/>
                <w:sz w:val="21"/>
                <w:szCs w:val="21"/>
                <w:highlight w:val="none"/>
                <w:lang w:eastAsia="en-US"/>
              </w:rPr>
              <w:t xml:space="preserve">内      容</w:t>
            </w:r>
            <w:r/>
          </w:p>
        </w:tc>
      </w:tr>
      <w:tr>
        <w:trPr>
          <w:jc w:val="center"/>
          <w:trHeight w:val="340"/>
        </w:trPr>
        <w:tc>
          <w:tcPr>
            <w:tcW w:w="724" w:type="dxa"/>
            <w:vAlign w:val="center"/>
            <w:textDirection w:val="lrTb"/>
            <w:noWrap w:val="false"/>
          </w:tcPr>
          <w:p>
            <w:pPr>
              <w:jc w:val="center"/>
              <w:spacing w:line="320" w:lineRule="exact"/>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lang w:eastAsia="en-US"/>
              </w:rPr>
              <w:t xml:space="preserve">1</w:t>
            </w:r>
            <w:r/>
          </w:p>
        </w:tc>
        <w:tc>
          <w:tcPr>
            <w:tcW w:w="2103" w:type="dxa"/>
            <w:vAlign w:val="center"/>
            <w:textDirection w:val="lrTb"/>
            <w:noWrap w:val="false"/>
          </w:tcPr>
          <w:p>
            <w:pPr>
              <w:spacing w:line="320" w:lineRule="exact"/>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lang w:eastAsia="en-US"/>
              </w:rPr>
              <w:t xml:space="preserve">招标编号</w:t>
            </w:r>
            <w:r/>
          </w:p>
        </w:tc>
        <w:tc>
          <w:tcPr>
            <w:tcW w:w="7124" w:type="dxa"/>
            <w:vAlign w:val="center"/>
            <w:textDirection w:val="lrTb"/>
            <w:noWrap w:val="false"/>
          </w:tcPr>
          <w:p>
            <w:pPr>
              <w:spacing w:line="320" w:lineRule="exac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 xml:space="preserve">JSZC-320509-SWGC-G2026-0065</w:t>
            </w:r>
            <w:r/>
          </w:p>
        </w:tc>
      </w:tr>
      <w:tr>
        <w:trPr>
          <w:jc w:val="center"/>
          <w:trHeight w:val="340"/>
        </w:trPr>
        <w:tc>
          <w:tcPr>
            <w:tcW w:w="724" w:type="dxa"/>
            <w:vAlign w:val="center"/>
            <w:textDirection w:val="lrTb"/>
            <w:noWrap w:val="false"/>
          </w:tcPr>
          <w:p>
            <w:pPr>
              <w:jc w:val="center"/>
              <w:spacing w:line="320" w:lineRule="exact"/>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lang w:eastAsia="en-US"/>
              </w:rPr>
              <w:t xml:space="preserve">2</w:t>
            </w:r>
            <w:r/>
          </w:p>
        </w:tc>
        <w:tc>
          <w:tcPr>
            <w:tcW w:w="2103" w:type="dxa"/>
            <w:vAlign w:val="center"/>
            <w:textDirection w:val="lrTb"/>
            <w:noWrap w:val="false"/>
          </w:tcPr>
          <w:p>
            <w:pPr>
              <w:spacing w:line="320" w:lineRule="exact"/>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lang w:eastAsia="en-US"/>
              </w:rPr>
              <w:t xml:space="preserve">招标内容</w:t>
            </w:r>
            <w:r/>
          </w:p>
        </w:tc>
        <w:tc>
          <w:tcPr>
            <w:tcW w:w="7124" w:type="dxa"/>
            <w:vAlign w:val="center"/>
            <w:textDirection w:val="lrTb"/>
            <w:noWrap w:val="false"/>
          </w:tcPr>
          <w:p>
            <w:pPr>
              <w:spacing w:line="320" w:lineRule="exac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eastAsia="zh-CN"/>
              </w:rPr>
              <w:t xml:space="preserve">2026年管线普查及数据升级项目</w:t>
            </w:r>
            <w:r/>
          </w:p>
        </w:tc>
      </w:tr>
      <w:tr>
        <w:trPr>
          <w:jc w:val="center"/>
          <w:trHeight w:val="340"/>
        </w:trPr>
        <w:tc>
          <w:tcPr>
            <w:tcW w:w="724" w:type="dxa"/>
            <w:vAlign w:val="center"/>
            <w:textDirection w:val="lrTb"/>
            <w:noWrap w:val="false"/>
          </w:tcPr>
          <w:p>
            <w:pPr>
              <w:jc w:val="center"/>
              <w:spacing w:line="320" w:lineRule="exact"/>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lang w:eastAsia="en-US"/>
              </w:rPr>
              <w:t xml:space="preserve">3</w:t>
            </w:r>
            <w:r/>
          </w:p>
        </w:tc>
        <w:tc>
          <w:tcPr>
            <w:tcW w:w="2103" w:type="dxa"/>
            <w:vAlign w:val="center"/>
            <w:textDirection w:val="lrTb"/>
            <w:noWrap w:val="false"/>
          </w:tcPr>
          <w:p>
            <w:pPr>
              <w:ind w:left="105" w:hanging="105"/>
              <w:spacing w:line="32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招标单位</w:t>
            </w:r>
            <w:r/>
          </w:p>
        </w:tc>
        <w:tc>
          <w:tcPr>
            <w:tcW w:w="7124" w:type="dxa"/>
            <w:vAlign w:val="center"/>
            <w:textDirection w:val="lrTb"/>
            <w:noWrap w:val="false"/>
          </w:tcPr>
          <w:p>
            <w:pPr>
              <w:spacing w:line="320" w:lineRule="exact"/>
              <w:tabs>
                <w:tab w:val="left" w:pos="3600" w:leader="none"/>
              </w:tabs>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名  称：</w:t>
            </w:r>
            <w:r>
              <w:rPr>
                <w:rFonts w:hint="eastAsia" w:asciiTheme="minorEastAsia" w:hAnsiTheme="minorEastAsia" w:eastAsiaTheme="minorEastAsia" w:cstheme="minorEastAsia"/>
                <w:color w:val="auto"/>
                <w:sz w:val="21"/>
                <w:szCs w:val="21"/>
                <w:highlight w:val="none"/>
                <w:lang w:eastAsia="zh-CN"/>
              </w:rPr>
              <w:t xml:space="preserve">苏州市吴江区自然资源和规划局</w:t>
            </w:r>
            <w:r/>
          </w:p>
          <w:p>
            <w:pPr>
              <w:spacing w:line="320" w:lineRule="exact"/>
              <w:tabs>
                <w:tab w:val="left" w:pos="360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  址：苏州市吴江区松陵镇鲈乡南路1933号</w:t>
            </w:r>
            <w:r/>
          </w:p>
          <w:p>
            <w:pPr>
              <w:spacing w:line="320" w:lineRule="exact"/>
              <w:tabs>
                <w:tab w:val="left" w:pos="3600" w:leader="none"/>
              </w:tabs>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联系人：</w:t>
            </w:r>
            <w:r>
              <w:rPr>
                <w:rFonts w:hint="eastAsia" w:asciiTheme="minorEastAsia" w:hAnsiTheme="minorEastAsia" w:eastAsiaTheme="minorEastAsia" w:cstheme="minorEastAsia"/>
                <w:color w:val="auto"/>
                <w:sz w:val="21"/>
                <w:szCs w:val="21"/>
                <w:highlight w:val="none"/>
                <w:lang w:val="en-US" w:eastAsia="zh-CN"/>
              </w:rPr>
              <w:t xml:space="preserve">殷丽丽</w:t>
            </w:r>
            <w:r/>
          </w:p>
        </w:tc>
      </w:tr>
      <w:tr>
        <w:trPr>
          <w:jc w:val="center"/>
          <w:trHeight w:val="340"/>
        </w:trPr>
        <w:tc>
          <w:tcPr>
            <w:tcW w:w="724" w:type="dxa"/>
            <w:vAlign w:val="center"/>
            <w:textDirection w:val="lrTb"/>
            <w:noWrap w:val="false"/>
          </w:tcPr>
          <w:p>
            <w:pPr>
              <w:jc w:val="center"/>
              <w:spacing w:line="320" w:lineRule="exact"/>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lang w:eastAsia="en-US"/>
              </w:rPr>
              <w:t xml:space="preserve">4</w:t>
            </w:r>
            <w:r/>
          </w:p>
        </w:tc>
        <w:tc>
          <w:tcPr>
            <w:tcW w:w="2103" w:type="dxa"/>
            <w:vAlign w:val="center"/>
            <w:textDirection w:val="lrTb"/>
            <w:noWrap w:val="false"/>
          </w:tcPr>
          <w:p>
            <w:pPr>
              <w:spacing w:line="320" w:lineRule="exact"/>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lang w:eastAsia="en-US"/>
              </w:rPr>
              <w:t xml:space="preserve">招标代理机构</w:t>
            </w:r>
            <w:r/>
          </w:p>
        </w:tc>
        <w:tc>
          <w:tcPr>
            <w:tcW w:w="7124" w:type="dxa"/>
            <w:vAlign w:val="center"/>
            <w:textDirection w:val="lrTb"/>
            <w:noWrap w:val="false"/>
          </w:tcPr>
          <w:p>
            <w:pPr>
              <w:spacing w:line="320" w:lineRule="exact"/>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szCs w:val="21"/>
                <w:highlight w:val="none"/>
              </w:rPr>
              <w:t xml:space="preserve">名  称</w:t>
            </w:r>
            <w:r>
              <w:rPr>
                <w:rFonts w:hint="eastAsia" w:asciiTheme="minorEastAsia" w:hAnsiTheme="minorEastAsia" w:eastAsiaTheme="minorEastAsia" w:cstheme="minorEastAsia"/>
                <w:color w:val="auto"/>
                <w:sz w:val="21"/>
                <w:highlight w:val="none"/>
              </w:rPr>
              <w:t xml:space="preserve">：江苏苏维工程管理有限公司</w:t>
            </w:r>
            <w:r/>
          </w:p>
          <w:p>
            <w:pPr>
              <w:spacing w:line="320" w:lineRule="exact"/>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地  址：苏州市姑苏区苏站路锦堂街8号江苏有线大厦2楼</w:t>
            </w:r>
            <w:r/>
          </w:p>
          <w:p>
            <w:pPr>
              <w:spacing w:line="320" w:lineRule="exact"/>
              <w:tabs>
                <w:tab w:val="left" w:pos="3600" w:leader="none"/>
              </w:tabs>
              <w:rPr>
                <w:rFonts w:hint="eastAsia" w:asciiTheme="minorEastAsia" w:hAnsiTheme="minorEastAsia" w:eastAsiaTheme="minorEastAsia" w:cstheme="minorEastAsia"/>
                <w:color w:val="auto"/>
                <w:sz w:val="21"/>
                <w:highlight w:val="none"/>
                <w:lang w:val="en-US" w:eastAsia="zh-CN"/>
              </w:rPr>
            </w:pPr>
            <w:r>
              <w:rPr>
                <w:rFonts w:hint="eastAsia" w:asciiTheme="minorEastAsia" w:hAnsiTheme="minorEastAsia" w:eastAsiaTheme="minorEastAsia" w:cstheme="minorEastAsia"/>
                <w:color w:val="auto"/>
                <w:sz w:val="21"/>
                <w:highlight w:val="none"/>
              </w:rPr>
              <w:t xml:space="preserve">联系人：邱季雯</w:t>
            </w:r>
            <w:r>
              <w:rPr>
                <w:rFonts w:hint="eastAsia" w:asciiTheme="minorEastAsia" w:hAnsiTheme="minorEastAsia" w:eastAsiaTheme="minorEastAsia" w:cstheme="minorEastAsia"/>
                <w:color w:val="auto"/>
                <w:sz w:val="21"/>
                <w:highlight w:val="none"/>
                <w:lang w:eastAsia="zh-CN"/>
              </w:rPr>
              <w:t xml:space="preserve">、</w:t>
            </w:r>
            <w:r>
              <w:rPr>
                <w:rFonts w:hint="eastAsia" w:asciiTheme="minorEastAsia" w:hAnsiTheme="minorEastAsia" w:eastAsiaTheme="minorEastAsia" w:cstheme="minorEastAsia"/>
                <w:color w:val="auto"/>
                <w:sz w:val="21"/>
                <w:highlight w:val="none"/>
                <w:lang w:val="en-US" w:eastAsia="zh-CN"/>
              </w:rPr>
              <w:t xml:space="preserve">王倩倩</w:t>
            </w:r>
            <w:r/>
          </w:p>
          <w:p>
            <w:pPr>
              <w:spacing w:line="320" w:lineRule="exact"/>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联系电话：0512-6722460</w:t>
            </w:r>
            <w:r>
              <w:rPr>
                <w:rFonts w:hint="eastAsia" w:asciiTheme="minorEastAsia" w:hAnsiTheme="minorEastAsia" w:eastAsiaTheme="minorEastAsia" w:cstheme="minorEastAsia"/>
                <w:color w:val="auto"/>
                <w:sz w:val="21"/>
                <w:highlight w:val="none"/>
                <w:lang w:val="en-US" w:eastAsia="zh-CN"/>
              </w:rPr>
              <w:t xml:space="preserve">1</w:t>
            </w:r>
            <w:r/>
          </w:p>
        </w:tc>
      </w:tr>
      <w:tr>
        <w:trPr>
          <w:jc w:val="center"/>
          <w:trHeight w:val="340"/>
        </w:trPr>
        <w:tc>
          <w:tcPr>
            <w:tcW w:w="724" w:type="dxa"/>
            <w:vAlign w:val="center"/>
            <w:textDirection w:val="lrTb"/>
            <w:noWrap w:val="false"/>
          </w:tcPr>
          <w:p>
            <w:pPr>
              <w:jc w:val="center"/>
              <w:spacing w:line="320" w:lineRule="exact"/>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lang w:eastAsia="en-US"/>
              </w:rPr>
              <w:t xml:space="preserve">5</w:t>
            </w:r>
            <w:r/>
          </w:p>
        </w:tc>
        <w:tc>
          <w:tcPr>
            <w:tcW w:w="2103" w:type="dxa"/>
            <w:vAlign w:val="center"/>
            <w:textDirection w:val="lrTb"/>
            <w:noWrap w:val="false"/>
          </w:tcPr>
          <w:p>
            <w:pPr>
              <w:spacing w:line="320" w:lineRule="exact"/>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lang w:eastAsia="en-US"/>
              </w:rPr>
              <w:t xml:space="preserve">投标有效期</w:t>
            </w:r>
            <w:r/>
          </w:p>
        </w:tc>
        <w:tc>
          <w:tcPr>
            <w:tcW w:w="7124" w:type="dxa"/>
            <w:vAlign w:val="center"/>
            <w:textDirection w:val="lrTb"/>
            <w:noWrap w:val="false"/>
          </w:tcPr>
          <w:p>
            <w:pPr>
              <w:spacing w:line="320" w:lineRule="exact"/>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rPr>
              <w:t xml:space="preserve">六十</w:t>
            </w:r>
            <w:r>
              <w:rPr>
                <w:rFonts w:hint="eastAsia" w:asciiTheme="minorEastAsia" w:hAnsiTheme="minorEastAsia" w:eastAsiaTheme="minorEastAsia" w:cstheme="minorEastAsia"/>
                <w:color w:val="auto"/>
                <w:sz w:val="21"/>
                <w:szCs w:val="21"/>
                <w:highlight w:val="none"/>
                <w:lang w:eastAsia="en-US"/>
              </w:rPr>
              <w:t xml:space="preserve">天（日历天）</w:t>
            </w:r>
            <w:r/>
          </w:p>
        </w:tc>
      </w:tr>
      <w:tr>
        <w:trPr>
          <w:jc w:val="center"/>
          <w:trHeight w:val="340"/>
        </w:trPr>
        <w:tc>
          <w:tcPr>
            <w:tcW w:w="724" w:type="dxa"/>
            <w:vAlign w:val="center"/>
            <w:textDirection w:val="lrTb"/>
            <w:noWrap w:val="false"/>
          </w:tcPr>
          <w:p>
            <w:pPr>
              <w:jc w:val="center"/>
              <w:spacing w:line="320" w:lineRule="exact"/>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lang w:eastAsia="en-US"/>
              </w:rPr>
              <w:t xml:space="preserve">6</w:t>
            </w:r>
            <w:r/>
          </w:p>
        </w:tc>
        <w:tc>
          <w:tcPr>
            <w:tcW w:w="2103" w:type="dxa"/>
            <w:vAlign w:val="center"/>
            <w:textDirection w:val="lrTb"/>
            <w:noWrap w:val="false"/>
          </w:tcPr>
          <w:p>
            <w:pPr>
              <w:spacing w:line="320" w:lineRule="exact"/>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lang w:eastAsia="en-US"/>
              </w:rPr>
              <w:t xml:space="preserve">投标保证金</w:t>
            </w:r>
            <w:r/>
          </w:p>
        </w:tc>
        <w:tc>
          <w:tcPr>
            <w:tcW w:w="7124" w:type="dxa"/>
            <w:vAlign w:val="center"/>
            <w:textDirection w:val="lrTb"/>
            <w:noWrap w:val="false"/>
          </w:tcPr>
          <w:p>
            <w:pPr>
              <w:spacing w:line="32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无</w:t>
            </w:r>
            <w:r/>
          </w:p>
        </w:tc>
      </w:tr>
      <w:tr>
        <w:trPr>
          <w:jc w:val="center"/>
          <w:trHeight w:val="340"/>
        </w:trPr>
        <w:tc>
          <w:tcPr>
            <w:tcW w:w="724" w:type="dxa"/>
            <w:vAlign w:val="center"/>
            <w:textDirection w:val="lrTb"/>
            <w:noWrap w:val="false"/>
          </w:tcPr>
          <w:p>
            <w:pPr>
              <w:jc w:val="center"/>
              <w:spacing w:line="320" w:lineRule="exact"/>
              <w:rPr>
                <w:rFonts w:hint="eastAsia" w:asciiTheme="minorEastAsia" w:hAnsiTheme="minorEastAsia" w:eastAsiaTheme="minorEastAsia" w:cstheme="minorEastAsia"/>
                <w:color w:val="auto"/>
                <w:position w:val="6"/>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7</w:t>
            </w:r>
            <w:r/>
          </w:p>
        </w:tc>
        <w:tc>
          <w:tcPr>
            <w:tcW w:w="2103" w:type="dxa"/>
            <w:vAlign w:val="center"/>
            <w:textDirection w:val="lrTb"/>
            <w:noWrap w:val="false"/>
          </w:tcPr>
          <w:p>
            <w:pPr>
              <w:spacing w:line="320" w:lineRule="exact"/>
              <w:rPr>
                <w:rFonts w:hint="eastAsia" w:asciiTheme="minorEastAsia" w:hAnsiTheme="minorEastAsia" w:eastAsiaTheme="minorEastAsia" w:cstheme="minorEastAsia"/>
                <w:color w:val="auto"/>
                <w:position w:val="6"/>
                <w:sz w:val="21"/>
                <w:szCs w:val="21"/>
                <w:highlight w:val="none"/>
              </w:rPr>
            </w:pPr>
            <w:r>
              <w:rPr>
                <w:rFonts w:hint="eastAsia" w:asciiTheme="minorEastAsia" w:hAnsiTheme="minorEastAsia" w:eastAsiaTheme="minorEastAsia" w:cstheme="minorEastAsia"/>
                <w:color w:val="auto"/>
                <w:sz w:val="21"/>
                <w:szCs w:val="21"/>
                <w:highlight w:val="none"/>
              </w:rPr>
              <w:t xml:space="preserve">报名截止时间</w:t>
            </w:r>
            <w:r/>
          </w:p>
        </w:tc>
        <w:tc>
          <w:tcPr>
            <w:tcW w:w="7124" w:type="dxa"/>
            <w:vAlign w:val="center"/>
            <w:textDirection w:val="lrTb"/>
            <w:noWrap w:val="false"/>
          </w:tcPr>
          <w:p>
            <w:pPr>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202</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u w:val="single"/>
                <w:lang w:val="en-US" w:eastAsia="zh-CN"/>
              </w:rPr>
              <w:t xml:space="preserve">05</w:t>
            </w:r>
            <w:r>
              <w:rPr>
                <w:rFonts w:hint="eastAsia" w:asciiTheme="minorEastAsia" w:hAnsiTheme="minorEastAsia" w:eastAsiaTheme="minorEastAsia" w:cstheme="minorEastAsia"/>
                <w:color w:val="auto"/>
                <w:sz w:val="21"/>
                <w:szCs w:val="21"/>
                <w:highlight w:val="none"/>
                <w:u w:val="single"/>
              </w:rPr>
              <w:t xml:space="preserve">月</w:t>
            </w:r>
            <w:r>
              <w:rPr>
                <w:rFonts w:hint="eastAsia" w:asciiTheme="minorEastAsia" w:hAnsiTheme="minorEastAsia" w:eastAsiaTheme="minorEastAsia" w:cstheme="minorEastAsia"/>
                <w:color w:val="auto"/>
                <w:sz w:val="21"/>
                <w:szCs w:val="21"/>
                <w:highlight w:val="none"/>
                <w:u w:val="single"/>
                <w:lang w:val="en-US" w:eastAsia="zh-CN"/>
              </w:rPr>
              <w:t xml:space="preserve">27</w:t>
            </w:r>
            <w:r>
              <w:rPr>
                <w:rFonts w:hint="eastAsia" w:asciiTheme="minorEastAsia" w:hAnsiTheme="minorEastAsia" w:eastAsiaTheme="minorEastAsia" w:cstheme="minorEastAsia"/>
                <w:color w:val="auto"/>
                <w:sz w:val="21"/>
                <w:szCs w:val="21"/>
                <w:highlight w:val="none"/>
                <w:u w:val="single"/>
              </w:rPr>
              <w:t xml:space="preserve">日</w:t>
            </w:r>
            <w:r/>
          </w:p>
        </w:tc>
      </w:tr>
      <w:tr>
        <w:trPr>
          <w:jc w:val="center"/>
          <w:trHeight w:val="340"/>
        </w:trPr>
        <w:tc>
          <w:tcPr>
            <w:tcW w:w="724" w:type="dxa"/>
            <w:vAlign w:val="center"/>
            <w:textDirection w:val="lrTb"/>
            <w:noWrap w:val="false"/>
          </w:tcPr>
          <w:p>
            <w:pPr>
              <w:jc w:val="center"/>
              <w:spacing w:line="320" w:lineRule="exac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8</w:t>
            </w:r>
            <w:r/>
          </w:p>
        </w:tc>
        <w:tc>
          <w:tcPr>
            <w:tcW w:w="2103" w:type="dxa"/>
            <w:vAlign w:val="center"/>
            <w:textDirection w:val="lrTb"/>
            <w:noWrap w:val="false"/>
          </w:tcPr>
          <w:p>
            <w:pPr>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投标文件网上</w:t>
            </w:r>
            <w:r/>
          </w:p>
          <w:p>
            <w:pPr>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提交截止时间</w:t>
            </w:r>
            <w:r/>
          </w:p>
        </w:tc>
        <w:tc>
          <w:tcPr>
            <w:tcW w:w="7124" w:type="dxa"/>
            <w:vAlign w:val="center"/>
            <w:textDirection w:val="lrTb"/>
            <w:noWrap w:val="false"/>
          </w:tcPr>
          <w:p>
            <w:pPr>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202</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u w:val="single"/>
                <w:lang w:val="en-US" w:eastAsia="zh-CN"/>
              </w:rPr>
              <w:t xml:space="preserve">06</w:t>
            </w:r>
            <w:r>
              <w:rPr>
                <w:rFonts w:hint="eastAsia" w:asciiTheme="minorEastAsia" w:hAnsiTheme="minorEastAsia" w:eastAsiaTheme="minorEastAsia" w:cstheme="minorEastAsia"/>
                <w:color w:val="auto"/>
                <w:sz w:val="21"/>
                <w:szCs w:val="21"/>
                <w:highlight w:val="none"/>
                <w:u w:val="single"/>
              </w:rPr>
              <w:t xml:space="preserve">月</w:t>
            </w:r>
            <w:r>
              <w:rPr>
                <w:rFonts w:hint="eastAsia" w:asciiTheme="minorEastAsia" w:hAnsiTheme="minorEastAsia" w:eastAsiaTheme="minorEastAsia" w:cstheme="minorEastAsia"/>
                <w:color w:val="auto"/>
                <w:sz w:val="21"/>
                <w:szCs w:val="21"/>
                <w:highlight w:val="none"/>
                <w:u w:val="single"/>
                <w:lang w:val="en-US" w:eastAsia="zh-CN"/>
              </w:rPr>
              <w:t xml:space="preserve">10</w:t>
            </w:r>
            <w:r>
              <w:rPr>
                <w:rFonts w:hint="eastAsia" w:asciiTheme="minorEastAsia" w:hAnsiTheme="minorEastAsia" w:eastAsiaTheme="minorEastAsia" w:cstheme="minorEastAsia"/>
                <w:color w:val="auto"/>
                <w:sz w:val="21"/>
                <w:szCs w:val="21"/>
                <w:highlight w:val="none"/>
                <w:u w:val="single"/>
              </w:rPr>
              <w:t xml:space="preserve">日13点30分</w:t>
            </w:r>
            <w:r>
              <w:rPr>
                <w:rFonts w:hint="eastAsia" w:asciiTheme="minorEastAsia" w:hAnsiTheme="minorEastAsia" w:eastAsiaTheme="minorEastAsia" w:cstheme="minorEastAsia"/>
                <w:color w:val="auto"/>
                <w:sz w:val="21"/>
                <w:szCs w:val="21"/>
                <w:highlight w:val="none"/>
              </w:rPr>
              <w:t xml:space="preserve">（北京时间）</w:t>
            </w:r>
            <w:r/>
          </w:p>
          <w:p>
            <w:pPr>
              <w:spacing w:line="32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投标文件必须在截止时间前完成提交（上传），逾期提交（上传）的投标文件恕不接受。</w:t>
            </w:r>
            <w:r/>
          </w:p>
        </w:tc>
      </w:tr>
      <w:tr>
        <w:trPr>
          <w:jc w:val="center"/>
          <w:trHeight w:val="59"/>
        </w:trPr>
        <w:tc>
          <w:tcPr>
            <w:tcW w:w="724" w:type="dxa"/>
            <w:vAlign w:val="center"/>
            <w:textDirection w:val="lrTb"/>
            <w:noWrap w:val="false"/>
          </w:tcPr>
          <w:p>
            <w:pPr>
              <w:jc w:val="center"/>
              <w:spacing w:line="320" w:lineRule="exac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9</w:t>
            </w:r>
            <w:r/>
          </w:p>
        </w:tc>
        <w:tc>
          <w:tcPr>
            <w:tcW w:w="2103" w:type="dxa"/>
            <w:vAlign w:val="center"/>
            <w:textDirection w:val="lrTb"/>
            <w:noWrap w:val="false"/>
          </w:tcPr>
          <w:p>
            <w:pPr>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开标时间</w:t>
            </w:r>
            <w:r/>
          </w:p>
          <w:p>
            <w:pPr>
              <w:spacing w:line="320" w:lineRule="exact"/>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rPr>
              <w:t xml:space="preserve">开标地点</w:t>
            </w:r>
            <w:r/>
          </w:p>
        </w:tc>
        <w:tc>
          <w:tcPr>
            <w:tcW w:w="7124" w:type="dxa"/>
            <w:vAlign w:val="center"/>
            <w:textDirection w:val="lrTb"/>
            <w:noWrap w:val="false"/>
          </w:tcPr>
          <w:p>
            <w:pPr>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202</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u w:val="single"/>
                <w:lang w:val="en-US" w:eastAsia="zh-CN"/>
              </w:rPr>
              <w:t xml:space="preserve">06</w:t>
            </w:r>
            <w:r>
              <w:rPr>
                <w:rFonts w:hint="eastAsia" w:asciiTheme="minorEastAsia" w:hAnsiTheme="minorEastAsia" w:eastAsiaTheme="minorEastAsia" w:cstheme="minorEastAsia"/>
                <w:color w:val="auto"/>
                <w:sz w:val="21"/>
                <w:szCs w:val="21"/>
                <w:highlight w:val="none"/>
                <w:u w:val="single"/>
              </w:rPr>
              <w:t xml:space="preserve">月</w:t>
            </w:r>
            <w:r>
              <w:rPr>
                <w:rFonts w:hint="eastAsia" w:asciiTheme="minorEastAsia" w:hAnsiTheme="minorEastAsia" w:eastAsiaTheme="minorEastAsia" w:cstheme="minorEastAsia"/>
                <w:color w:val="auto"/>
                <w:sz w:val="21"/>
                <w:szCs w:val="21"/>
                <w:highlight w:val="none"/>
                <w:u w:val="single"/>
                <w:lang w:val="en-US" w:eastAsia="zh-CN"/>
              </w:rPr>
              <w:t xml:space="preserve">10</w:t>
            </w:r>
            <w:r>
              <w:rPr>
                <w:rFonts w:hint="eastAsia" w:asciiTheme="minorEastAsia" w:hAnsiTheme="minorEastAsia" w:eastAsiaTheme="minorEastAsia" w:cstheme="minorEastAsia"/>
                <w:color w:val="auto"/>
                <w:sz w:val="21"/>
                <w:szCs w:val="21"/>
                <w:highlight w:val="none"/>
                <w:u w:val="single"/>
              </w:rPr>
              <w:t xml:space="preserve">日13点30分</w:t>
            </w:r>
            <w:r>
              <w:rPr>
                <w:rFonts w:hint="eastAsia" w:asciiTheme="minorEastAsia" w:hAnsiTheme="minorEastAsia" w:eastAsiaTheme="minorEastAsia" w:cstheme="minorEastAsia"/>
                <w:color w:val="auto"/>
                <w:sz w:val="21"/>
                <w:szCs w:val="21"/>
                <w:highlight w:val="none"/>
              </w:rPr>
              <w:t xml:space="preserve">（北京时间）</w:t>
            </w:r>
            <w:r/>
          </w:p>
          <w:p>
            <w:pPr>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“苏采云”系统（网址：http://jszfcg.jsczt.cn/）</w:t>
            </w:r>
            <w:r/>
          </w:p>
          <w:p>
            <w:pPr>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340"/>
        </w:trPr>
        <w:tc>
          <w:tcPr>
            <w:tcW w:w="724" w:type="dxa"/>
            <w:vAlign w:val="center"/>
            <w:textDirection w:val="lrTb"/>
            <w:noWrap w:val="false"/>
          </w:tcPr>
          <w:p>
            <w:pPr>
              <w:jc w:val="center"/>
              <w:spacing w:line="320" w:lineRule="exac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0</w:t>
            </w:r>
            <w:r/>
          </w:p>
        </w:tc>
        <w:tc>
          <w:tcPr>
            <w:tcW w:w="2103" w:type="dxa"/>
            <w:vAlign w:val="center"/>
            <w:textDirection w:val="lrTb"/>
            <w:noWrap w:val="false"/>
          </w:tcPr>
          <w:p>
            <w:pPr>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评标时间</w:t>
            </w:r>
            <w:r/>
          </w:p>
          <w:p>
            <w:pPr>
              <w:spacing w:line="320" w:lineRule="exact"/>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rPr>
              <w:t xml:space="preserve">评标地点</w:t>
            </w:r>
            <w:r/>
          </w:p>
        </w:tc>
        <w:tc>
          <w:tcPr>
            <w:tcW w:w="7124" w:type="dxa"/>
            <w:vAlign w:val="center"/>
            <w:textDirection w:val="lrTb"/>
            <w:noWrap w:val="false"/>
          </w:tcPr>
          <w:p>
            <w:pPr>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202</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u w:val="single"/>
                <w:lang w:val="en-US" w:eastAsia="zh-CN"/>
              </w:rPr>
              <w:t xml:space="preserve">06</w:t>
            </w:r>
            <w:r>
              <w:rPr>
                <w:rFonts w:hint="eastAsia" w:asciiTheme="minorEastAsia" w:hAnsiTheme="minorEastAsia" w:eastAsiaTheme="minorEastAsia" w:cstheme="minorEastAsia"/>
                <w:color w:val="auto"/>
                <w:sz w:val="21"/>
                <w:szCs w:val="21"/>
                <w:highlight w:val="none"/>
                <w:u w:val="single"/>
              </w:rPr>
              <w:t xml:space="preserve">月</w:t>
            </w:r>
            <w:r>
              <w:rPr>
                <w:rFonts w:hint="eastAsia" w:asciiTheme="minorEastAsia" w:hAnsiTheme="minorEastAsia" w:eastAsiaTheme="minorEastAsia" w:cstheme="minorEastAsia"/>
                <w:color w:val="auto"/>
                <w:sz w:val="21"/>
                <w:szCs w:val="21"/>
                <w:highlight w:val="none"/>
                <w:u w:val="single"/>
                <w:lang w:val="en-US" w:eastAsia="zh-CN"/>
              </w:rPr>
              <w:t xml:space="preserve">10</w:t>
            </w:r>
            <w:r>
              <w:rPr>
                <w:rFonts w:hint="eastAsia" w:asciiTheme="minorEastAsia" w:hAnsiTheme="minorEastAsia" w:eastAsiaTheme="minorEastAsia" w:cstheme="minorEastAsia"/>
                <w:color w:val="auto"/>
                <w:sz w:val="21"/>
                <w:szCs w:val="21"/>
                <w:highlight w:val="none"/>
                <w:u w:val="single"/>
              </w:rPr>
              <w:t xml:space="preserve">日13点30分</w:t>
            </w:r>
            <w:r>
              <w:rPr>
                <w:rFonts w:hint="eastAsia" w:asciiTheme="minorEastAsia" w:hAnsiTheme="minorEastAsia" w:eastAsiaTheme="minorEastAsia" w:cstheme="minorEastAsia"/>
                <w:color w:val="auto"/>
                <w:sz w:val="21"/>
                <w:szCs w:val="21"/>
                <w:highlight w:val="none"/>
              </w:rPr>
              <w:t xml:space="preserve">（北京时间）</w:t>
            </w:r>
            <w:r/>
          </w:p>
          <w:p>
            <w:pPr>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苏州市公共资源交易中心吴江分中心（吴江区开平路998号） </w:t>
            </w:r>
            <w:r/>
          </w:p>
        </w:tc>
      </w:tr>
      <w:tr>
        <w:trPr>
          <w:jc w:val="center"/>
          <w:trHeight w:val="340"/>
        </w:trPr>
        <w:tc>
          <w:tcPr>
            <w:tcW w:w="724" w:type="dxa"/>
            <w:vAlign w:val="center"/>
            <w:textDirection w:val="lrTb"/>
            <w:noWrap w:val="false"/>
          </w:tcPr>
          <w:p>
            <w:pPr>
              <w:jc w:val="center"/>
              <w:spacing w:line="32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11</w:t>
            </w:r>
            <w:r/>
          </w:p>
        </w:tc>
        <w:tc>
          <w:tcPr>
            <w:tcW w:w="2103" w:type="dxa"/>
            <w:vAlign w:val="center"/>
            <w:textDirection w:val="lrTb"/>
            <w:noWrap w:val="false"/>
          </w:tcPr>
          <w:p>
            <w:pPr>
              <w:spacing w:line="320" w:lineRule="exact"/>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rPr>
              <w:t xml:space="preserve">投标文件份数</w:t>
            </w:r>
            <w:r/>
          </w:p>
        </w:tc>
        <w:tc>
          <w:tcPr>
            <w:tcW w:w="7124" w:type="dxa"/>
            <w:vAlign w:val="center"/>
            <w:textDirection w:val="lrTb"/>
            <w:noWrap w:val="false"/>
          </w:tcPr>
          <w:p>
            <w:pPr>
              <w:spacing w:line="320" w:lineRule="exact"/>
              <w:tabs>
                <w:tab w:val="left" w:pos="360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本项目采用电子投标文件，投标人按照招标文件要求制作上传电子投标文件，投标人无需提供纸质投标文件。</w:t>
            </w:r>
            <w:r/>
          </w:p>
        </w:tc>
      </w:tr>
      <w:tr>
        <w:trPr>
          <w:jc w:val="center"/>
          <w:trHeight w:val="340"/>
        </w:trPr>
        <w:tc>
          <w:tcPr>
            <w:tcW w:w="724" w:type="dxa"/>
            <w:vAlign w:val="center"/>
            <w:textDirection w:val="lrTb"/>
            <w:noWrap w:val="false"/>
          </w:tcPr>
          <w:p>
            <w:pPr>
              <w:jc w:val="center"/>
              <w:spacing w:line="32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12</w:t>
            </w:r>
            <w:r/>
          </w:p>
        </w:tc>
        <w:tc>
          <w:tcPr>
            <w:tcW w:w="2103" w:type="dxa"/>
            <w:vAlign w:val="center"/>
            <w:textDirection w:val="lrTb"/>
            <w:noWrap w:val="false"/>
          </w:tcPr>
          <w:p>
            <w:pPr>
              <w:spacing w:line="320" w:lineRule="exact"/>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rPr>
              <w:t xml:space="preserve">投标报价本位币</w:t>
            </w:r>
            <w:r/>
          </w:p>
        </w:tc>
        <w:tc>
          <w:tcPr>
            <w:tcW w:w="7124" w:type="dxa"/>
            <w:vAlign w:val="center"/>
            <w:textDirection w:val="lrTb"/>
            <w:noWrap w:val="false"/>
          </w:tcPr>
          <w:p>
            <w:pPr>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人民币</w:t>
            </w:r>
            <w:r/>
          </w:p>
        </w:tc>
      </w:tr>
      <w:tr>
        <w:trPr>
          <w:jc w:val="center"/>
          <w:trHeight w:val="341"/>
        </w:trPr>
        <w:tc>
          <w:tcPr>
            <w:tcW w:w="724" w:type="dxa"/>
            <w:vAlign w:val="center"/>
            <w:textDirection w:val="lrTb"/>
            <w:noWrap w:val="false"/>
          </w:tcPr>
          <w:p>
            <w:pPr>
              <w:jc w:val="center"/>
              <w:spacing w:line="32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13</w:t>
            </w:r>
            <w:r/>
          </w:p>
        </w:tc>
        <w:tc>
          <w:tcPr>
            <w:tcW w:w="2103" w:type="dxa"/>
            <w:vAlign w:val="center"/>
            <w:textDirection w:val="lrTb"/>
            <w:noWrap w:val="false"/>
          </w:tcPr>
          <w:p>
            <w:pPr>
              <w:spacing w:line="320" w:lineRule="exact"/>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rPr>
              <w:t xml:space="preserve">履约保证金</w:t>
            </w:r>
            <w:r/>
          </w:p>
        </w:tc>
        <w:tc>
          <w:tcPr>
            <w:tcW w:w="7124" w:type="dxa"/>
            <w:vAlign w:val="center"/>
            <w:textDirection w:val="lrTb"/>
            <w:noWrap w:val="false"/>
          </w:tcPr>
          <w:p>
            <w:pPr>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无</w:t>
            </w:r>
            <w:r/>
          </w:p>
        </w:tc>
      </w:tr>
      <w:tr>
        <w:trPr>
          <w:jc w:val="center"/>
          <w:trHeight w:val="340"/>
        </w:trPr>
        <w:tc>
          <w:tcPr>
            <w:tcW w:w="724" w:type="dxa"/>
            <w:vAlign w:val="center"/>
            <w:textDirection w:val="lrTb"/>
            <w:noWrap w:val="false"/>
          </w:tcPr>
          <w:p>
            <w:pPr>
              <w:jc w:val="center"/>
              <w:spacing w:line="320" w:lineRule="exac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4</w:t>
            </w:r>
            <w:r/>
          </w:p>
        </w:tc>
        <w:tc>
          <w:tcPr>
            <w:tcW w:w="2103" w:type="dxa"/>
            <w:vAlign w:val="center"/>
            <w:textDirection w:val="lrTb"/>
            <w:noWrap w:val="false"/>
          </w:tcPr>
          <w:p>
            <w:pPr>
              <w:spacing w:line="320" w:lineRule="exact"/>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rPr>
              <w:t xml:space="preserve">中标通知书</w:t>
            </w:r>
            <w:r/>
          </w:p>
        </w:tc>
        <w:tc>
          <w:tcPr>
            <w:tcW w:w="7124" w:type="dxa"/>
            <w:vAlign w:val="center"/>
            <w:textDirection w:val="lrTb"/>
            <w:noWrap w:val="false"/>
          </w:tcPr>
          <w:p>
            <w:pPr>
              <w:spacing w:line="320" w:lineRule="exact"/>
              <w:tabs>
                <w:tab w:val="left" w:pos="360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确定</w:t>
            </w:r>
            <w:r>
              <w:rPr>
                <w:rFonts w:hint="eastAsia" w:asciiTheme="minorEastAsia" w:hAnsiTheme="minorEastAsia" w:eastAsiaTheme="minorEastAsia" w:cstheme="minorEastAsia"/>
                <w:color w:val="auto"/>
                <w:sz w:val="21"/>
                <w:szCs w:val="21"/>
                <w:highlight w:val="none"/>
              </w:rPr>
              <w:t xml:space="preserve">中标人后，采购代理机构在法定时间内向中标人发出中标通知书。中标通知书将成为合同的组成部分。</w:t>
            </w:r>
            <w:r/>
          </w:p>
          <w:p>
            <w:pPr>
              <w:spacing w:line="320" w:lineRule="exact"/>
              <w:tabs>
                <w:tab w:val="left" w:pos="360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请中标人在中标结果公告届满之日起30日内</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使用CA证书登录“苏采云”系统及时下载中标通知书。</w:t>
            </w:r>
            <w:r/>
          </w:p>
        </w:tc>
      </w:tr>
      <w:tr>
        <w:trPr>
          <w:jc w:val="center"/>
          <w:trHeight w:val="340"/>
        </w:trPr>
        <w:tc>
          <w:tcPr>
            <w:tcW w:w="724" w:type="dxa"/>
            <w:vAlign w:val="center"/>
            <w:textDirection w:val="lrTb"/>
            <w:noWrap w:val="false"/>
          </w:tcPr>
          <w:p>
            <w:pPr>
              <w:jc w:val="center"/>
              <w:spacing w:line="320" w:lineRule="exac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5</w:t>
            </w:r>
            <w:r/>
          </w:p>
        </w:tc>
        <w:tc>
          <w:tcPr>
            <w:tcW w:w="2103" w:type="dxa"/>
            <w:vAlign w:val="center"/>
            <w:textDirection w:val="lrTb"/>
            <w:noWrap w:val="false"/>
          </w:tcPr>
          <w:p>
            <w:pPr>
              <w:jc w:val="left"/>
              <w:spacing w:line="320" w:lineRule="exact"/>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lang w:val="en-US" w:eastAsia="zh-CN"/>
              </w:rPr>
              <w:t xml:space="preserve">代理</w:t>
            </w:r>
            <w:r>
              <w:rPr>
                <w:rFonts w:hint="eastAsia" w:asciiTheme="minorEastAsia" w:hAnsiTheme="minorEastAsia" w:eastAsiaTheme="minorEastAsia" w:cstheme="minorEastAsia"/>
                <w:color w:val="auto"/>
                <w:sz w:val="21"/>
                <w:szCs w:val="21"/>
                <w:highlight w:val="none"/>
                <w:lang w:eastAsia="en-US"/>
              </w:rPr>
              <w:t xml:space="preserve">服务费</w:t>
            </w:r>
            <w:r/>
          </w:p>
        </w:tc>
        <w:tc>
          <w:tcPr>
            <w:tcW w:w="7124" w:type="dxa"/>
            <w:vAlign w:val="center"/>
            <w:textDirection w:val="lrTb"/>
            <w:noWrap w:val="false"/>
          </w:tcPr>
          <w:p>
            <w:pPr>
              <w:ind w:right="-159"/>
              <w:spacing w:line="320" w:lineRule="exact"/>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 xml:space="preserve">本项目</w:t>
            </w:r>
            <w:r>
              <w:rPr>
                <w:rFonts w:hint="eastAsia" w:asciiTheme="minorEastAsia" w:hAnsiTheme="minorEastAsia" w:eastAsiaTheme="minorEastAsia" w:cstheme="minorEastAsia"/>
                <w:color w:val="auto"/>
                <w:sz w:val="21"/>
                <w:szCs w:val="21"/>
                <w:highlight w:val="none"/>
                <w:lang w:val="zh-CN"/>
              </w:rPr>
              <w:t xml:space="preserve">代理服务费由采购人支付</w:t>
            </w:r>
            <w:r>
              <w:rPr>
                <w:rFonts w:hint="eastAsia" w:asciiTheme="minorEastAsia" w:hAnsiTheme="minorEastAsia" w:eastAsiaTheme="minorEastAsia" w:cstheme="minorEastAsia"/>
                <w:color w:val="auto"/>
                <w:sz w:val="21"/>
                <w:szCs w:val="21"/>
                <w:highlight w:val="none"/>
                <w:lang w:val="zh-CN"/>
              </w:rPr>
              <w:t xml:space="preserve">：预算金额100万以下费率为预算金额的1.5%；预算金额100万（含）-500万费率为预算金额的1.1%；预算金额500万（含）-1000万费率为预算金额的0.8%；1000万元（含）-5000万元费率为预算金额的0.5%，按差额定率累进法计算并支付</w:t>
            </w:r>
            <w:r>
              <w:rPr>
                <w:rFonts w:hint="eastAsia" w:asciiTheme="minorEastAsia" w:hAnsiTheme="minorEastAsia" w:eastAsiaTheme="minorEastAsia" w:cstheme="minorEastAsia"/>
                <w:color w:val="auto"/>
                <w:sz w:val="21"/>
                <w:szCs w:val="21"/>
                <w:highlight w:val="none"/>
                <w:lang w:val="en-US" w:eastAsia="zh-CN"/>
              </w:rPr>
              <w:t xml:space="preserve">代理</w:t>
            </w:r>
            <w:r>
              <w:rPr>
                <w:rFonts w:hint="eastAsia" w:asciiTheme="minorEastAsia" w:hAnsiTheme="minorEastAsia" w:eastAsiaTheme="minorEastAsia" w:cstheme="minorEastAsia"/>
                <w:color w:val="auto"/>
                <w:sz w:val="21"/>
                <w:szCs w:val="21"/>
                <w:highlight w:val="none"/>
                <w:lang w:val="zh-CN"/>
              </w:rPr>
              <w:t xml:space="preserve">服务费。</w:t>
            </w:r>
            <w:r/>
          </w:p>
          <w:p>
            <w:pPr>
              <w:ind w:right="-159"/>
              <w:spacing w:line="320" w:lineRule="exact"/>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账 户 名：江苏苏维工程管理有限公司相城分公司</w:t>
            </w:r>
            <w:r/>
          </w:p>
          <w:p>
            <w:pPr>
              <w:ind w:right="-159"/>
              <w:spacing w:line="320" w:lineRule="exact"/>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开户银行：招商银行苏州分行姑苏支行</w:t>
            </w:r>
            <w:r/>
          </w:p>
          <w:p>
            <w:pPr>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账   号：512911834110601</w:t>
            </w:r>
            <w:r/>
          </w:p>
        </w:tc>
      </w:tr>
      <w:tr>
        <w:trPr>
          <w:jc w:val="center"/>
          <w:trHeight w:val="340"/>
        </w:trPr>
        <w:tc>
          <w:tcPr>
            <w:tcW w:w="724" w:type="dxa"/>
            <w:vAlign w:val="center"/>
            <w:textDirection w:val="lrTb"/>
            <w:noWrap w:val="false"/>
          </w:tcPr>
          <w:p>
            <w:pPr>
              <w:jc w:val="center"/>
              <w:spacing w:line="320" w:lineRule="exac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6</w:t>
            </w:r>
            <w:r/>
          </w:p>
        </w:tc>
        <w:tc>
          <w:tcPr>
            <w:tcW w:w="2103" w:type="dxa"/>
            <w:vAlign w:val="center"/>
            <w:textDirection w:val="lrTb"/>
            <w:noWrap w:val="false"/>
          </w:tcPr>
          <w:p>
            <w:pPr>
              <w:jc w:val="left"/>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en-US"/>
              </w:rPr>
              <w:t xml:space="preserve">评分标准</w:t>
            </w:r>
            <w:r/>
          </w:p>
        </w:tc>
        <w:tc>
          <w:tcPr>
            <w:tcW w:w="7124" w:type="dxa"/>
            <w:vAlign w:val="center"/>
            <w:textDirection w:val="lrTb"/>
            <w:noWrap w:val="false"/>
          </w:tcPr>
          <w:p>
            <w:pPr>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详见第六章评分标准。</w:t>
            </w:r>
            <w:r/>
          </w:p>
        </w:tc>
      </w:tr>
      <w:tr>
        <w:trPr>
          <w:jc w:val="center"/>
          <w:trHeight w:val="340"/>
        </w:trPr>
        <w:tc>
          <w:tcPr>
            <w:tcW w:w="724" w:type="dxa"/>
            <w:vAlign w:val="center"/>
            <w:textDirection w:val="lrTb"/>
            <w:noWrap w:val="false"/>
          </w:tcPr>
          <w:p>
            <w:pPr>
              <w:jc w:val="center"/>
              <w:spacing w:line="320" w:lineRule="exac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7</w:t>
            </w:r>
            <w:r/>
          </w:p>
        </w:tc>
        <w:tc>
          <w:tcPr>
            <w:tcW w:w="2103" w:type="dxa"/>
            <w:vAlign w:val="center"/>
            <w:textDirection w:val="lrTb"/>
            <w:noWrap w:val="false"/>
          </w:tcPr>
          <w:p>
            <w:pPr>
              <w:jc w:val="left"/>
              <w:spacing w:line="320" w:lineRule="exact"/>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lang w:eastAsia="en-US"/>
              </w:rPr>
              <w:t xml:space="preserve">评标方法</w:t>
            </w:r>
            <w:r/>
          </w:p>
        </w:tc>
        <w:tc>
          <w:tcPr>
            <w:tcW w:w="7124" w:type="dxa"/>
            <w:vAlign w:val="center"/>
            <w:textDirection w:val="lrTb"/>
            <w:noWrap w:val="false"/>
          </w:tcPr>
          <w:p>
            <w:pPr>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用综合评分方法得分最高的投标单位为中标单位。</w:t>
            </w:r>
            <w:r/>
          </w:p>
        </w:tc>
      </w:tr>
    </w:tbl>
    <w:p>
      <w:pPr>
        <w:jc w:val="center"/>
        <w:spacing w:line="360" w:lineRule="auto"/>
        <w:rPr>
          <w:rFonts w:hint="eastAsia" w:asciiTheme="minorEastAsia" w:hAnsiTheme="minorEastAsia" w:eastAsiaTheme="minorEastAsia" w:cstheme="minorEastAsia"/>
          <w:b/>
          <w:color w:val="auto"/>
          <w:sz w:val="48"/>
          <w:szCs w:val="48"/>
          <w:highlight w:val="none"/>
        </w:rPr>
      </w:pPr>
      <w:r>
        <w:rPr>
          <w:rFonts w:hint="eastAsia" w:asciiTheme="minorEastAsia" w:hAnsiTheme="minorEastAsia" w:eastAsiaTheme="minorEastAsia" w:cstheme="minorEastAsia"/>
          <w:color w:val="auto"/>
          <w:sz w:val="32"/>
          <w:szCs w:val="32"/>
          <w:highlight w:val="none"/>
        </w:rPr>
        <w:br w:type="page" w:clear="all"/>
      </w:r>
      <w:bookmarkStart w:id="1" w:name="_Toc492294163"/>
      <w:r>
        <w:rPr>
          <w:rFonts w:hint="eastAsia" w:asciiTheme="minorEastAsia" w:hAnsiTheme="minorEastAsia" w:eastAsiaTheme="minorEastAsia" w:cstheme="minorEastAsia"/>
          <w:b/>
          <w:color w:val="auto"/>
          <w:sz w:val="48"/>
          <w:szCs w:val="48"/>
          <w:highlight w:val="none"/>
        </w:rPr>
        <w:t xml:space="preserve">总目录</w:t>
      </w:r>
      <w:r/>
    </w:p>
    <w:p>
      <w:pPr>
        <w:pStyle w:val="963"/>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sz w:val="28"/>
          <w:szCs w:val="28"/>
          <w:highlight w:val="none"/>
        </w:rPr>
        <w:fldChar w:fldCharType="begin"/>
      </w:r>
      <w:r>
        <w:rPr>
          <w:rFonts w:hint="eastAsia" w:asciiTheme="minorEastAsia" w:hAnsiTheme="minorEastAsia" w:eastAsiaTheme="minorEastAsia" w:cstheme="minorEastAsia"/>
          <w:b/>
          <w:color w:val="auto"/>
          <w:sz w:val="28"/>
          <w:szCs w:val="28"/>
          <w:highlight w:val="none"/>
        </w:rPr>
        <w:instrText xml:space="preserve"> TOC \o "1-1" \h \z \u </w:instrText>
      </w:r>
      <w:r>
        <w:rPr>
          <w:rFonts w:hint="eastAsia" w:asciiTheme="minorEastAsia" w:hAnsiTheme="minorEastAsia" w:eastAsiaTheme="minorEastAsia" w:cstheme="minorEastAsia"/>
          <w:b/>
          <w:color w:val="auto"/>
          <w:sz w:val="28"/>
          <w:szCs w:val="28"/>
          <w:highlight w:val="none"/>
        </w:rPr>
        <w:fldChar w:fldCharType="separate"/>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"_Toc35951271" </w:instrText>
      </w:r>
      <w:r>
        <w:rPr>
          <w:rFonts w:hint="eastAsia" w:asciiTheme="minorEastAsia" w:hAnsiTheme="minorEastAsia" w:eastAsiaTheme="minorEastAsia" w:cstheme="minorEastAsia"/>
          <w:color w:val="auto"/>
          <w:highlight w:val="none"/>
        </w:rPr>
        <w:fldChar w:fldCharType="separate"/>
      </w:r>
      <w:r>
        <w:rPr>
          <w:rStyle w:val="969"/>
          <w:rFonts w:hint="eastAsia" w:asciiTheme="minorEastAsia" w:hAnsiTheme="minorEastAsia" w:eastAsiaTheme="minorEastAsia" w:cstheme="minorEastAsia"/>
          <w:b/>
          <w:color w:val="auto"/>
          <w:sz w:val="28"/>
          <w:szCs w:val="28"/>
          <w:highlight w:val="none"/>
        </w:rPr>
        <w:t xml:space="preserve">第一章 招标公告</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_Toc35951271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4</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p>
    <w:p>
      <w:pPr>
        <w:pStyle w:val="963"/>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"_Toc35951272" </w:instrText>
      </w:r>
      <w:r>
        <w:rPr>
          <w:rFonts w:hint="eastAsia" w:asciiTheme="minorEastAsia" w:hAnsiTheme="minorEastAsia" w:eastAsiaTheme="minorEastAsia" w:cstheme="minorEastAsia"/>
          <w:color w:val="auto"/>
          <w:highlight w:val="none"/>
        </w:rPr>
        <w:fldChar w:fldCharType="separate"/>
      </w:r>
      <w:r>
        <w:rPr>
          <w:rStyle w:val="969"/>
          <w:rFonts w:hint="eastAsia" w:asciiTheme="minorEastAsia" w:hAnsiTheme="minorEastAsia" w:eastAsiaTheme="minorEastAsia" w:cstheme="minorEastAsia"/>
          <w:b/>
          <w:color w:val="auto"/>
          <w:sz w:val="28"/>
          <w:szCs w:val="28"/>
          <w:highlight w:val="none"/>
        </w:rPr>
        <w:t xml:space="preserve">第二章 投标人须知</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_Toc35951272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8</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p>
    <w:p>
      <w:pPr>
        <w:pStyle w:val="963"/>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"_Toc35951273" </w:instrText>
      </w:r>
      <w:r>
        <w:rPr>
          <w:rFonts w:hint="eastAsia" w:asciiTheme="minorEastAsia" w:hAnsiTheme="minorEastAsia" w:eastAsiaTheme="minorEastAsia" w:cstheme="minorEastAsia"/>
          <w:color w:val="auto"/>
          <w:highlight w:val="none"/>
        </w:rPr>
        <w:fldChar w:fldCharType="separate"/>
      </w:r>
      <w:r>
        <w:rPr>
          <w:rStyle w:val="969"/>
          <w:rFonts w:hint="eastAsia" w:asciiTheme="minorEastAsia" w:hAnsiTheme="minorEastAsia" w:eastAsiaTheme="minorEastAsia" w:cstheme="minorEastAsia"/>
          <w:b/>
          <w:color w:val="auto"/>
          <w:sz w:val="28"/>
          <w:szCs w:val="28"/>
          <w:highlight w:val="none"/>
        </w:rPr>
        <w:t xml:space="preserve">第三章 投标文件格式</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_Toc35951273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18</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p>
    <w:p>
      <w:pPr>
        <w:pStyle w:val="963"/>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"_Toc35951274" </w:instrText>
      </w:r>
      <w:r>
        <w:rPr>
          <w:rFonts w:hint="eastAsia" w:asciiTheme="minorEastAsia" w:hAnsiTheme="minorEastAsia" w:eastAsiaTheme="minorEastAsia" w:cstheme="minorEastAsia"/>
          <w:color w:val="auto"/>
          <w:highlight w:val="none"/>
        </w:rPr>
        <w:fldChar w:fldCharType="separate"/>
      </w:r>
      <w:r>
        <w:rPr>
          <w:rStyle w:val="969"/>
          <w:rFonts w:hint="eastAsia" w:asciiTheme="minorEastAsia" w:hAnsiTheme="minorEastAsia" w:eastAsiaTheme="minorEastAsia" w:cstheme="minorEastAsia"/>
          <w:b/>
          <w:color w:val="auto"/>
          <w:sz w:val="28"/>
          <w:szCs w:val="28"/>
          <w:highlight w:val="none"/>
        </w:rPr>
        <w:t xml:space="preserve">第四章 招标书</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_Toc35951274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32</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p>
    <w:p>
      <w:pPr>
        <w:pStyle w:val="963"/>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"_Toc35951275" </w:instrText>
      </w:r>
      <w:r>
        <w:rPr>
          <w:rFonts w:hint="eastAsia" w:asciiTheme="minorEastAsia" w:hAnsiTheme="minorEastAsia" w:eastAsiaTheme="minorEastAsia" w:cstheme="minorEastAsia"/>
          <w:color w:val="auto"/>
          <w:highlight w:val="none"/>
        </w:rPr>
        <w:fldChar w:fldCharType="separate"/>
      </w:r>
      <w:r>
        <w:rPr>
          <w:rStyle w:val="969"/>
          <w:rFonts w:hint="eastAsia" w:asciiTheme="minorEastAsia" w:hAnsiTheme="minorEastAsia" w:eastAsiaTheme="minorEastAsia" w:cstheme="minorEastAsia"/>
          <w:b/>
          <w:color w:val="auto"/>
          <w:sz w:val="28"/>
          <w:szCs w:val="28"/>
          <w:highlight w:val="none"/>
        </w:rPr>
        <w:t xml:space="preserve">第五章 合同主要条款</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t xml:space="preserve">39</w:t>
      </w:r>
      <w:r/>
    </w:p>
    <w:p>
      <w:pPr>
        <w:pStyle w:val="963"/>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"_Toc35951276" </w:instrText>
      </w:r>
      <w:r>
        <w:rPr>
          <w:rFonts w:hint="eastAsia" w:asciiTheme="minorEastAsia" w:hAnsiTheme="minorEastAsia" w:eastAsiaTheme="minorEastAsia" w:cstheme="minorEastAsia"/>
          <w:color w:val="auto"/>
          <w:highlight w:val="none"/>
        </w:rPr>
        <w:fldChar w:fldCharType="separate"/>
      </w:r>
      <w:r>
        <w:rPr>
          <w:rStyle w:val="969"/>
          <w:rFonts w:hint="eastAsia" w:asciiTheme="minorEastAsia" w:hAnsiTheme="minorEastAsia" w:eastAsiaTheme="minorEastAsia" w:cstheme="minorEastAsia"/>
          <w:b/>
          <w:color w:val="auto"/>
          <w:sz w:val="28"/>
          <w:szCs w:val="28"/>
          <w:highlight w:val="none"/>
        </w:rPr>
        <w:t xml:space="preserve">第六章 评标办法及评分标准</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t xml:space="preserve">41</w:t>
      </w:r>
      <w:r/>
    </w:p>
    <w:p>
      <w:pPr>
        <w:jc w:val="center"/>
        <w:spacing w:line="360" w:lineRule="auto"/>
        <w:rPr>
          <w:rFonts w:hint="eastAsia" w:asciiTheme="minorEastAsia" w:hAnsiTheme="minorEastAsia" w:eastAsiaTheme="minorEastAsia" w:cstheme="minorEastAsia"/>
          <w:b/>
          <w:color w:val="auto"/>
          <w:sz w:val="32"/>
          <w:szCs w:val="32"/>
          <w:highlight w:val="none"/>
        </w:rPr>
        <w:outlineLvl w:val="0"/>
      </w:pPr>
      <w:r>
        <w:rPr>
          <w:rFonts w:hint="eastAsia" w:asciiTheme="minorEastAsia" w:hAnsiTheme="minorEastAsia" w:eastAsiaTheme="minorEastAsia" w:cstheme="minorEastAsia"/>
          <w:b/>
          <w:color w:val="auto"/>
          <w:szCs w:val="28"/>
          <w:highlight w:val="none"/>
        </w:rPr>
        <w:fldChar w:fldCharType="end"/>
      </w:r>
      <w:r>
        <w:rPr>
          <w:rFonts w:hint="eastAsia" w:asciiTheme="minorEastAsia" w:hAnsiTheme="minorEastAsia" w:eastAsiaTheme="minorEastAsia" w:cstheme="minorEastAsia"/>
          <w:color w:val="auto"/>
          <w:sz w:val="32"/>
          <w:szCs w:val="32"/>
          <w:highlight w:val="none"/>
        </w:rPr>
        <w:br w:type="page" w:clear="all"/>
      </w:r>
      <w:bookmarkEnd w:id="1"/>
      <w:r/>
      <w:bookmarkStart w:id="2" w:name="_Toc35951271"/>
      <w:r/>
      <w:bookmarkStart w:id="3" w:name="_Toc142194255"/>
      <w:r/>
      <w:bookmarkStart w:id="4" w:name="_Toc492294164"/>
      <w:r/>
      <w:bookmarkStart w:id="5" w:name="_Toc492394284"/>
      <w:r>
        <w:rPr>
          <w:rFonts w:hint="eastAsia" w:asciiTheme="minorEastAsia" w:hAnsiTheme="minorEastAsia" w:eastAsiaTheme="minorEastAsia" w:cstheme="minorEastAsia"/>
          <w:b/>
          <w:color w:val="auto"/>
          <w:sz w:val="32"/>
          <w:szCs w:val="32"/>
          <w:highlight w:val="none"/>
        </w:rPr>
        <w:t xml:space="preserve">第一章 招标公告</w:t>
      </w:r>
      <w:bookmarkEnd w:id="2"/>
      <w:r/>
      <w:bookmarkEnd w:id="3"/>
      <w:r/>
      <w:bookmarkEnd w:id="4"/>
      <w:r/>
      <w:bookmarkEnd w:id="5"/>
      <w:r/>
      <w:r/>
    </w:p>
    <w:p>
      <w:pPr>
        <w:ind w:firstLine="420"/>
        <w:spacing w:line="360" w:lineRule="auto"/>
        <w:rPr>
          <w:rFonts w:hint="eastAsia" w:asciiTheme="minorEastAsia" w:hAnsiTheme="minorEastAsia" w:eastAsiaTheme="minorEastAsia" w:cstheme="minorEastAsia"/>
          <w:color w:val="auto"/>
          <w:sz w:val="21"/>
          <w:highlight w:val="non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auto"/>
          <w:sz w:val="21"/>
          <w:highlight w:val="none"/>
        </w:rPr>
        <w:t xml:space="preserve">项目概况</w:t>
      </w:r>
      <w:r/>
    </w:p>
    <w:p>
      <w:pPr>
        <w:ind w:firstLine="420"/>
        <w:spacing w:line="360" w:lineRule="auto"/>
        <w:rPr>
          <w:rFonts w:hint="eastAsia" w:asciiTheme="minorEastAsia" w:hAnsiTheme="minorEastAsia" w:eastAsiaTheme="minorEastAsia" w:cstheme="minorEastAsia"/>
          <w:color w:val="auto"/>
          <w:sz w:val="21"/>
          <w:highlight w:val="non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auto"/>
          <w:sz w:val="21"/>
          <w:szCs w:val="21"/>
          <w:highlight w:val="none"/>
          <w:u w:val="single"/>
          <w:lang w:val="zh-CN"/>
        </w:rPr>
        <w:t xml:space="preserve">2026年管线普查及数据升级项目</w:t>
      </w:r>
      <w:r>
        <w:rPr>
          <w:rFonts w:hint="eastAsia" w:asciiTheme="minorEastAsia" w:hAnsiTheme="minorEastAsia" w:eastAsiaTheme="minorEastAsia" w:cstheme="minorEastAsia"/>
          <w:color w:val="auto"/>
          <w:sz w:val="21"/>
          <w:highlight w:val="none"/>
        </w:rPr>
        <w:t xml:space="preserve">招标项目的潜在投标人应在</w:t>
      </w:r>
      <w:r>
        <w:rPr>
          <w:rFonts w:hint="eastAsia" w:asciiTheme="minorEastAsia" w:hAnsiTheme="minorEastAsia" w:eastAsiaTheme="minorEastAsia" w:cstheme="minorEastAsia"/>
          <w:color w:val="auto"/>
          <w:sz w:val="21"/>
          <w:szCs w:val="21"/>
          <w:highlight w:val="none"/>
          <w:u w:val="single"/>
        </w:rPr>
        <w:t xml:space="preserve">苏采云系统</w:t>
      </w:r>
      <w:r>
        <w:rPr>
          <w:rFonts w:hint="eastAsia" w:asciiTheme="minorEastAsia" w:hAnsiTheme="minorEastAsia" w:eastAsiaTheme="minorEastAsia" w:cstheme="minorEastAsia"/>
          <w:color w:val="auto"/>
          <w:sz w:val="21"/>
          <w:highlight w:val="none"/>
        </w:rPr>
        <w:t xml:space="preserve">获取招标文件，并于</w:t>
      </w:r>
      <w:r>
        <w:rPr>
          <w:rFonts w:hint="eastAsia" w:asciiTheme="minorEastAsia" w:hAnsiTheme="minorEastAsia" w:eastAsiaTheme="minorEastAsia" w:cstheme="minorEastAsia"/>
          <w:color w:val="auto"/>
          <w:sz w:val="21"/>
          <w:highlight w:val="none"/>
          <w:u w:val="single"/>
        </w:rPr>
        <w:t xml:space="preserve">202</w:t>
      </w:r>
      <w:r>
        <w:rPr>
          <w:rFonts w:hint="eastAsia" w:asciiTheme="minorEastAsia" w:hAnsiTheme="minorEastAsia" w:eastAsiaTheme="minorEastAsia" w:cstheme="minorEastAsia"/>
          <w:color w:val="auto"/>
          <w:sz w:val="21"/>
          <w:highlight w:val="none"/>
          <w:u w:val="single"/>
          <w:lang w:val="en-US" w:eastAsia="zh-CN"/>
        </w:rPr>
        <w:t xml:space="preserve">6</w:t>
      </w:r>
      <w:r>
        <w:rPr>
          <w:rFonts w:hint="eastAsia" w:asciiTheme="minorEastAsia" w:hAnsiTheme="minorEastAsia" w:eastAsiaTheme="minorEastAsia" w:cstheme="minorEastAsia"/>
          <w:color w:val="auto"/>
          <w:sz w:val="21"/>
          <w:highlight w:val="none"/>
          <w:u w:val="single"/>
        </w:rPr>
        <w:t xml:space="preserve">年</w:t>
      </w:r>
      <w:r>
        <w:rPr>
          <w:rFonts w:hint="eastAsia" w:asciiTheme="minorEastAsia" w:hAnsiTheme="minorEastAsia" w:eastAsiaTheme="minorEastAsia" w:cstheme="minorEastAsia"/>
          <w:color w:val="auto"/>
          <w:sz w:val="21"/>
          <w:szCs w:val="21"/>
          <w:highlight w:val="none"/>
          <w:u w:val="single"/>
          <w:lang w:val="en-US" w:eastAsia="zh-CN"/>
        </w:rPr>
        <w:t xml:space="preserve">06</w:t>
      </w:r>
      <w:r>
        <w:rPr>
          <w:rFonts w:hint="eastAsia" w:asciiTheme="minorEastAsia" w:hAnsiTheme="minorEastAsia" w:eastAsiaTheme="minorEastAsia" w:cstheme="minorEastAsia"/>
          <w:color w:val="auto"/>
          <w:sz w:val="21"/>
          <w:szCs w:val="21"/>
          <w:highlight w:val="none"/>
          <w:u w:val="single"/>
        </w:rPr>
        <w:t xml:space="preserve">月</w:t>
      </w:r>
      <w:r>
        <w:rPr>
          <w:rFonts w:hint="eastAsia" w:asciiTheme="minorEastAsia" w:hAnsiTheme="minorEastAsia" w:eastAsiaTheme="minorEastAsia" w:cstheme="minorEastAsia"/>
          <w:color w:val="auto"/>
          <w:sz w:val="21"/>
          <w:szCs w:val="21"/>
          <w:highlight w:val="none"/>
          <w:u w:val="single"/>
          <w:lang w:val="en-US" w:eastAsia="zh-CN"/>
        </w:rPr>
        <w:t xml:space="preserve">10</w:t>
      </w:r>
      <w:r>
        <w:rPr>
          <w:rFonts w:hint="eastAsia" w:asciiTheme="minorEastAsia" w:hAnsiTheme="minorEastAsia" w:eastAsiaTheme="minorEastAsia" w:cstheme="minorEastAsia"/>
          <w:color w:val="auto"/>
          <w:sz w:val="21"/>
          <w:szCs w:val="21"/>
          <w:highlight w:val="none"/>
          <w:u w:val="single"/>
        </w:rPr>
        <w:t xml:space="preserve">日</w:t>
      </w:r>
      <w:r>
        <w:rPr>
          <w:rFonts w:hint="eastAsia" w:asciiTheme="minorEastAsia" w:hAnsiTheme="minorEastAsia" w:eastAsiaTheme="minorEastAsia" w:cstheme="minorEastAsia"/>
          <w:color w:val="auto"/>
          <w:sz w:val="21"/>
          <w:highlight w:val="none"/>
          <w:u w:val="single"/>
          <w:lang w:val="en-US" w:eastAsia="zh-CN"/>
        </w:rPr>
        <w:t xml:space="preserve">13</w:t>
      </w:r>
      <w:r>
        <w:rPr>
          <w:rFonts w:hint="eastAsia" w:asciiTheme="minorEastAsia" w:hAnsiTheme="minorEastAsia" w:eastAsiaTheme="minorEastAsia" w:cstheme="minorEastAsia"/>
          <w:color w:val="auto"/>
          <w:sz w:val="21"/>
          <w:highlight w:val="none"/>
          <w:u w:val="single"/>
        </w:rPr>
        <w:t xml:space="preserve">点30分</w:t>
      </w:r>
      <w:r>
        <w:rPr>
          <w:rFonts w:hint="eastAsia" w:asciiTheme="minorEastAsia" w:hAnsiTheme="minorEastAsia" w:eastAsiaTheme="minorEastAsia" w:cstheme="minorEastAsia"/>
          <w:color w:val="auto"/>
          <w:sz w:val="21"/>
          <w:highlight w:val="none"/>
        </w:rPr>
        <w:t xml:space="preserve">（北京时间）前递交投标文件。</w:t>
      </w:r>
      <w:r/>
    </w:p>
    <w:p>
      <w:pPr>
        <w:ind w:firstLine="422"/>
        <w:spacing w:line="360" w:lineRule="auto"/>
        <w:tabs>
          <w:tab w:val="left" w:pos="3600" w:leader="none"/>
        </w:tabs>
        <w:rPr>
          <w:rFonts w:hint="eastAsia" w:asciiTheme="minorEastAsia" w:hAnsiTheme="minorEastAsia" w:eastAsiaTheme="minorEastAsia" w:cstheme="minorEastAsia"/>
          <w:b/>
          <w:color w:val="auto"/>
          <w:sz w:val="21"/>
          <w:highlight w:val="none"/>
        </w:rPr>
      </w:pPr>
      <w:r>
        <w:rPr>
          <w:rFonts w:hint="eastAsia" w:asciiTheme="minorEastAsia" w:hAnsiTheme="minorEastAsia" w:eastAsiaTheme="minorEastAsia" w:cstheme="minorEastAsia"/>
          <w:b/>
          <w:color w:val="auto"/>
          <w:sz w:val="21"/>
          <w:highlight w:val="none"/>
        </w:rPr>
        <w:t xml:space="preserve">一、项目基本情况</w:t>
      </w:r>
      <w:r/>
    </w:p>
    <w:p>
      <w:pPr>
        <w:ind w:firstLine="420"/>
        <w:spacing w:line="360" w:lineRule="auto"/>
        <w:tabs>
          <w:tab w:val="left" w:pos="3600" w:leader="none"/>
        </w:tabs>
        <w:rPr>
          <w:rFonts w:hint="eastAsia" w:asciiTheme="minorEastAsia" w:hAnsiTheme="minorEastAsia" w:eastAsiaTheme="minorEastAsia" w:cstheme="minorEastAsia"/>
          <w:color w:val="auto"/>
          <w:sz w:val="21"/>
          <w:highlight w:val="none"/>
          <w:lang w:eastAsia="zh-CN"/>
        </w:rPr>
      </w:pPr>
      <w:r>
        <w:rPr>
          <w:rFonts w:hint="eastAsia" w:asciiTheme="minorEastAsia" w:hAnsiTheme="minorEastAsia" w:eastAsiaTheme="minorEastAsia" w:cstheme="minorEastAsia"/>
          <w:color w:val="auto"/>
          <w:sz w:val="21"/>
          <w:highlight w:val="none"/>
        </w:rPr>
        <w:t xml:space="preserve">项目编号：</w:t>
      </w:r>
      <w:r>
        <w:rPr>
          <w:rFonts w:hint="eastAsia" w:asciiTheme="minorEastAsia" w:hAnsiTheme="minorEastAsia" w:eastAsiaTheme="minorEastAsia" w:cstheme="minorEastAsia"/>
          <w:color w:val="auto"/>
          <w:sz w:val="21"/>
          <w:highlight w:val="none"/>
          <w:lang w:eastAsia="zh-CN"/>
        </w:rPr>
        <w:t xml:space="preserve">JSZC-320509-SWGC-G2026-0065</w:t>
      </w:r>
      <w:r/>
    </w:p>
    <w:p>
      <w:pPr>
        <w:ind w:firstLine="420"/>
        <w:spacing w:line="360" w:lineRule="auto"/>
        <w:tabs>
          <w:tab w:val="left" w:pos="3600" w:leader="none"/>
        </w:tabs>
        <w:rPr>
          <w:rFonts w:hint="eastAsia" w:asciiTheme="minorEastAsia" w:hAnsiTheme="minorEastAsia" w:eastAsiaTheme="minorEastAsia" w:cstheme="minorEastAsia"/>
          <w:color w:val="auto"/>
          <w:sz w:val="21"/>
          <w:highlight w:val="none"/>
          <w:lang w:eastAsia="zh-CN"/>
        </w:rPr>
      </w:pPr>
      <w:r>
        <w:rPr>
          <w:rFonts w:hint="eastAsia" w:asciiTheme="minorEastAsia" w:hAnsiTheme="minorEastAsia" w:eastAsiaTheme="minorEastAsia" w:cstheme="minorEastAsia"/>
          <w:color w:val="auto"/>
          <w:sz w:val="21"/>
          <w:highlight w:val="none"/>
        </w:rPr>
        <w:t xml:space="preserve">项目名称：</w:t>
      </w:r>
      <w:r>
        <w:rPr>
          <w:rFonts w:hint="eastAsia" w:asciiTheme="minorEastAsia" w:hAnsiTheme="minorEastAsia" w:eastAsiaTheme="minorEastAsia" w:cstheme="minorEastAsia"/>
          <w:color w:val="auto"/>
          <w:sz w:val="21"/>
          <w:highlight w:val="none"/>
          <w:lang w:eastAsia="zh-CN"/>
        </w:rPr>
        <w:t xml:space="preserve">2026年管线普查及数据升级项目</w:t>
      </w:r>
      <w:r/>
    </w:p>
    <w:p>
      <w:pPr>
        <w:ind w:firstLine="420"/>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采购方式：公开招标</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预</w:t>
      </w:r>
      <w:r>
        <w:rPr>
          <w:rFonts w:hint="eastAsia" w:asciiTheme="minorEastAsia" w:hAnsiTheme="minorEastAsia" w:eastAsiaTheme="minorEastAsia" w:cstheme="minorEastAsia"/>
          <w:color w:val="auto"/>
          <w:sz w:val="21"/>
          <w:szCs w:val="21"/>
          <w:highlight w:val="none"/>
          <w:lang w:val="zh-CN"/>
        </w:rPr>
        <w:t xml:space="preserve">算金额：人民币</w:t>
      </w:r>
      <w:r>
        <w:rPr>
          <w:rFonts w:hint="eastAsia" w:asciiTheme="minorEastAsia" w:hAnsiTheme="minorEastAsia" w:eastAsiaTheme="minorEastAsia" w:cstheme="minorEastAsia"/>
          <w:color w:val="auto"/>
          <w:sz w:val="21"/>
          <w:szCs w:val="21"/>
          <w:highlight w:val="none"/>
          <w:lang w:val="en-US" w:eastAsia="zh-CN"/>
        </w:rPr>
        <w:t xml:space="preserve">捌佰叁拾捌</w:t>
      </w:r>
      <w:r>
        <w:rPr>
          <w:rFonts w:hint="eastAsia" w:asciiTheme="minorEastAsia" w:hAnsiTheme="minorEastAsia" w:eastAsiaTheme="minorEastAsia" w:cstheme="minorEastAsia"/>
          <w:color w:val="auto"/>
          <w:sz w:val="21"/>
          <w:szCs w:val="21"/>
          <w:highlight w:val="none"/>
          <w:lang w:val="zh-CN"/>
        </w:rPr>
        <w:t xml:space="preserve">万元整（</w:t>
      </w:r>
      <w:r>
        <w:rPr>
          <w:rFonts w:hint="eastAsia" w:asciiTheme="minorEastAsia" w:hAnsiTheme="minorEastAsia" w:eastAsiaTheme="minorEastAsia" w:cstheme="minorEastAsia"/>
          <w:color w:val="auto"/>
          <w:sz w:val="21"/>
          <w:szCs w:val="21"/>
          <w:highlight w:val="none"/>
          <w:lang w:val="en-US" w:eastAsia="zh-CN"/>
        </w:rPr>
        <w:t xml:space="preserve">¥838</w:t>
      </w:r>
      <w:r>
        <w:rPr>
          <w:rFonts w:hint="eastAsia" w:asciiTheme="minorEastAsia" w:hAnsiTheme="minorEastAsia" w:eastAsiaTheme="minorEastAsia" w:cstheme="minorEastAsia"/>
          <w:color w:val="auto"/>
          <w:sz w:val="21"/>
          <w:szCs w:val="21"/>
          <w:highlight w:val="none"/>
          <w:lang w:val="zh-CN"/>
        </w:rPr>
        <w:t xml:space="preserve">0000.00），</w:t>
      </w:r>
      <w:r>
        <w:rPr>
          <w:rFonts w:hint="eastAsia" w:asciiTheme="minorEastAsia" w:hAnsiTheme="minorEastAsia" w:eastAsiaTheme="minorEastAsia" w:cstheme="minorEastAsia"/>
          <w:color w:val="auto"/>
          <w:sz w:val="21"/>
          <w:szCs w:val="21"/>
          <w:highlight w:val="none"/>
          <w:lang w:val="en-US" w:eastAsia="zh-CN"/>
        </w:rPr>
        <w:t xml:space="preserve">其中：</w:t>
      </w:r>
      <w:r/>
    </w:p>
    <w:p>
      <w:pPr>
        <w:pStyle w:val="953"/>
        <w:ind w:firstLine="42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标段一：预算金额为人民币肆佰壹拾叁万元整（¥413</w:t>
      </w:r>
      <w:r>
        <w:rPr>
          <w:rFonts w:hint="eastAsia" w:asciiTheme="minorEastAsia" w:hAnsiTheme="minorEastAsia" w:eastAsiaTheme="minorEastAsia" w:cstheme="minorEastAsia"/>
          <w:color w:val="auto"/>
          <w:sz w:val="21"/>
          <w:szCs w:val="21"/>
          <w:highlight w:val="none"/>
          <w:lang w:val="zh-CN"/>
        </w:rPr>
        <w:t xml:space="preserve">0000.00</w:t>
      </w:r>
      <w:r>
        <w:rPr>
          <w:rFonts w:hint="eastAsia" w:asciiTheme="minorEastAsia" w:hAnsiTheme="minorEastAsia" w:eastAsiaTheme="minorEastAsia" w:cstheme="minorEastAsia"/>
          <w:color w:val="auto"/>
          <w:sz w:val="21"/>
          <w:szCs w:val="21"/>
          <w:highlight w:val="none"/>
          <w:lang w:val="en-US" w:eastAsia="zh-CN"/>
        </w:rPr>
        <w:t xml:space="preserve">）；</w:t>
      </w:r>
      <w:r/>
    </w:p>
    <w:p>
      <w:pPr>
        <w:pStyle w:val="953"/>
        <w:ind w:firstLine="420"/>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标段二：预算金额为人民币肆佰贰拾伍万元整（¥425</w:t>
      </w:r>
      <w:r>
        <w:rPr>
          <w:rFonts w:hint="eastAsia" w:asciiTheme="minorEastAsia" w:hAnsiTheme="minorEastAsia" w:eastAsiaTheme="minorEastAsia" w:cstheme="minorEastAsia"/>
          <w:color w:val="auto"/>
          <w:sz w:val="21"/>
          <w:szCs w:val="21"/>
          <w:highlight w:val="none"/>
          <w:lang w:val="zh-CN"/>
        </w:rPr>
        <w:t xml:space="preserve">0000.00</w:t>
      </w:r>
      <w:r>
        <w:rPr>
          <w:rFonts w:hint="eastAsia" w:asciiTheme="minorEastAsia" w:hAnsiTheme="minorEastAsia" w:eastAsiaTheme="minorEastAsia" w:cstheme="minorEastAsia"/>
          <w:color w:val="auto"/>
          <w:sz w:val="21"/>
          <w:szCs w:val="21"/>
          <w:highlight w:val="none"/>
          <w:lang w:val="en-US" w:eastAsia="zh-CN"/>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服务期限：</w:t>
      </w:r>
      <w:r/>
    </w:p>
    <w:p>
      <w:pPr>
        <w:ind w:firstLine="420"/>
        <w:spacing w:line="360" w:lineRule="auto"/>
        <w:rPr>
          <w:rFonts w:hint="eastAsia"/>
          <w:color w:val="auto"/>
          <w:highlight w:val="none"/>
        </w:rPr>
      </w:pPr>
      <w:r>
        <w:rPr>
          <w:rFonts w:hint="eastAsia" w:asciiTheme="minorEastAsia" w:hAnsiTheme="minorEastAsia" w:eastAsiaTheme="minorEastAsia" w:cstheme="minorEastAsia"/>
          <w:color w:val="auto"/>
          <w:sz w:val="21"/>
          <w:szCs w:val="21"/>
          <w:highlight w:val="none"/>
          <w:lang w:val="zh-CN"/>
        </w:rPr>
        <w:t xml:space="preserve">项目拟于</w:t>
      </w: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月底前通过采购单位组织的验收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提交全部成果。</w:t>
      </w:r>
      <w:r/>
    </w:p>
    <w:p>
      <w:pPr>
        <w:ind w:firstLine="420"/>
        <w:spacing w:line="360" w:lineRule="auto"/>
        <w:tabs>
          <w:tab w:val="left" w:pos="3600" w:leader="none"/>
        </w:tabs>
        <w:rPr>
          <w:rFonts w:hint="eastAsia" w:asciiTheme="minorEastAsia" w:hAnsiTheme="minorEastAsia" w:eastAsiaTheme="minorEastAsia" w:cstheme="minorEastAsia"/>
          <w:color w:val="auto"/>
          <w:sz w:val="21"/>
          <w:szCs w:val="22"/>
          <w:highlight w:val="none"/>
        </w:rPr>
      </w:pPr>
      <w:r>
        <w:rPr>
          <w:rFonts w:hint="eastAsia" w:asciiTheme="minorEastAsia" w:hAnsiTheme="minorEastAsia" w:eastAsiaTheme="minorEastAsia" w:cstheme="minorEastAsia"/>
          <w:color w:val="auto"/>
          <w:sz w:val="21"/>
          <w:szCs w:val="22"/>
          <w:highlight w:val="none"/>
        </w:rPr>
        <w:t xml:space="preserve">采购需求：</w:t>
      </w:r>
      <w:r/>
    </w:p>
    <w:p>
      <w:pPr>
        <w:ind w:firstLine="420"/>
        <w:spacing w:line="360" w:lineRule="auto"/>
        <w:tabs>
          <w:tab w:val="left" w:pos="3600" w:leader="none"/>
        </w:tabs>
        <w:rPr>
          <w:rFonts w:hint="default" w:asciiTheme="minorEastAsia" w:hAnsiTheme="minorEastAsia" w:eastAsiaTheme="minorEastAsia" w:cstheme="minorEastAsia"/>
          <w:color w:val="auto"/>
          <w:sz w:val="21"/>
          <w:szCs w:val="22"/>
          <w:highlight w:val="none"/>
          <w:lang w:val="en-US" w:eastAsia="zh-CN"/>
        </w:rPr>
      </w:pPr>
      <w:r/>
      <w:bookmarkStart w:id="6" w:name="OLE_LINK1"/>
      <w:r>
        <w:rPr>
          <w:rFonts w:hint="eastAsia" w:asciiTheme="minorEastAsia" w:hAnsiTheme="minorEastAsia" w:eastAsiaTheme="minorEastAsia" w:cstheme="minorEastAsia"/>
          <w:color w:val="auto"/>
          <w:sz w:val="21"/>
          <w:szCs w:val="22"/>
          <w:highlight w:val="none"/>
        </w:rPr>
        <w:t xml:space="preserve">为进一步加强吴江区管线数据的现势性和完整性，</w:t>
      </w:r>
      <w:r>
        <w:rPr>
          <w:rFonts w:hint="eastAsia" w:asciiTheme="minorEastAsia" w:hAnsiTheme="minorEastAsia" w:eastAsiaTheme="minorEastAsia" w:cstheme="minorEastAsia"/>
          <w:color w:val="auto"/>
          <w:sz w:val="21"/>
          <w:szCs w:val="22"/>
          <w:highlight w:val="none"/>
          <w:lang w:val="en-US" w:eastAsia="zh-CN"/>
        </w:rPr>
        <w:t xml:space="preserve">拟</w:t>
      </w:r>
      <w:r>
        <w:rPr>
          <w:rFonts w:hint="eastAsia" w:asciiTheme="minorEastAsia" w:hAnsiTheme="minorEastAsia" w:eastAsiaTheme="minorEastAsia" w:cstheme="minorEastAsia"/>
          <w:color w:val="auto"/>
          <w:sz w:val="21"/>
          <w:szCs w:val="22"/>
          <w:highlight w:val="none"/>
        </w:rPr>
        <w:t xml:space="preserve">在前期建设成果基础上，根据《苏州市城市地下市政基础设施数据归集标准（暂行）》的数据要求，实施“2026年管线普查及</w:t>
      </w:r>
      <w:r>
        <w:rPr>
          <w:rFonts w:hint="eastAsia" w:asciiTheme="minorEastAsia" w:hAnsiTheme="minorEastAsia" w:eastAsiaTheme="minorEastAsia" w:cstheme="minorEastAsia"/>
          <w:color w:val="auto"/>
          <w:sz w:val="21"/>
          <w:szCs w:val="22"/>
          <w:highlight w:val="none"/>
          <w:lang w:eastAsia="zh-CN"/>
        </w:rPr>
        <w:t xml:space="preserve">数据升级</w:t>
      </w:r>
      <w:r>
        <w:rPr>
          <w:rFonts w:hint="eastAsia" w:asciiTheme="minorEastAsia" w:hAnsiTheme="minorEastAsia" w:eastAsiaTheme="minorEastAsia" w:cstheme="minorEastAsia"/>
          <w:color w:val="auto"/>
          <w:sz w:val="21"/>
          <w:szCs w:val="22"/>
          <w:highlight w:val="none"/>
        </w:rPr>
        <w:t xml:space="preserve">项目”。</w:t>
      </w:r>
      <w:r>
        <w:rPr>
          <w:rFonts w:hint="eastAsia" w:asciiTheme="minorEastAsia" w:hAnsiTheme="minorEastAsia" w:eastAsiaTheme="minorEastAsia" w:cstheme="minorEastAsia"/>
          <w:color w:val="auto"/>
          <w:sz w:val="21"/>
          <w:szCs w:val="22"/>
          <w:highlight w:val="none"/>
          <w:lang w:val="en-US" w:eastAsia="zh-CN"/>
        </w:rPr>
        <w:t xml:space="preserve">具体详见采购文件。</w:t>
      </w:r>
      <w:r/>
    </w:p>
    <w:p>
      <w:pPr>
        <w:ind w:firstLine="422"/>
        <w:spacing w:line="360" w:lineRule="auto"/>
        <w:tabs>
          <w:tab w:val="left" w:pos="3600" w:leader="none"/>
        </w:tabs>
        <w:rPr>
          <w:rFonts w:hint="eastAsia" w:asciiTheme="minorEastAsia" w:hAnsiTheme="minorEastAsia" w:eastAsiaTheme="minorEastAsia" w:cstheme="minorEastAsia"/>
          <w:b/>
          <w:bCs/>
          <w:color w:val="auto"/>
          <w:sz w:val="21"/>
          <w:szCs w:val="22"/>
          <w:highlight w:val="none"/>
        </w:rPr>
      </w:pPr>
      <w:r>
        <w:rPr>
          <w:rFonts w:hint="eastAsia" w:asciiTheme="minorEastAsia" w:hAnsiTheme="minorEastAsia" w:eastAsiaTheme="minorEastAsia" w:cstheme="minorEastAsia"/>
          <w:b/>
          <w:bCs/>
          <w:color w:val="auto"/>
          <w:sz w:val="21"/>
          <w:szCs w:val="22"/>
          <w:highlight w:val="none"/>
        </w:rPr>
        <w:t xml:space="preserve">注：本项目共有</w:t>
      </w:r>
      <w:r>
        <w:rPr>
          <w:rFonts w:hint="eastAsia" w:asciiTheme="minorEastAsia" w:hAnsiTheme="minorEastAsia" w:eastAsiaTheme="minorEastAsia" w:cstheme="minorEastAsia"/>
          <w:b/>
          <w:bCs/>
          <w:color w:val="auto"/>
          <w:sz w:val="21"/>
          <w:szCs w:val="22"/>
          <w:highlight w:val="none"/>
          <w:lang w:eastAsia="zh-CN"/>
        </w:rPr>
        <w:t xml:space="preserve">二</w:t>
      </w:r>
      <w:r>
        <w:rPr>
          <w:rFonts w:hint="eastAsia" w:asciiTheme="minorEastAsia" w:hAnsiTheme="minorEastAsia" w:eastAsiaTheme="minorEastAsia" w:cstheme="minorEastAsia"/>
          <w:b/>
          <w:bCs/>
          <w:color w:val="auto"/>
          <w:sz w:val="21"/>
          <w:szCs w:val="22"/>
          <w:highlight w:val="none"/>
        </w:rPr>
        <w:t xml:space="preserve">个标段，每标段拟中一家单位，开标顺序按标段编号的先后顺序进行。投标单位可选择其中一个或多个标段进行报名，但每家投标单位的累计中标标段不得超过1个。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bookmarkEnd w:id="6"/>
      <w:r/>
      <w:r/>
    </w:p>
    <w:p>
      <w:pPr>
        <w:ind w:firstLine="422"/>
        <w:spacing w:line="360" w:lineRule="auto"/>
        <w:tabs>
          <w:tab w:val="left" w:pos="3600" w:leader="none"/>
        </w:tabs>
        <w:rPr>
          <w:rFonts w:hint="eastAsia" w:asciiTheme="minorEastAsia" w:hAnsiTheme="minorEastAsia" w:eastAsiaTheme="minorEastAsia" w:cstheme="minorEastAsia"/>
          <w:b/>
          <w:bCs/>
          <w:color w:val="auto"/>
          <w:sz w:val="21"/>
          <w:szCs w:val="22"/>
          <w:highlight w:val="none"/>
        </w:rPr>
      </w:pPr>
      <w:r>
        <w:rPr>
          <w:rFonts w:hint="eastAsia" w:asciiTheme="minorEastAsia" w:hAnsiTheme="minorEastAsia" w:eastAsiaTheme="minorEastAsia" w:cstheme="minorEastAsia"/>
          <w:b/>
          <w:bCs/>
          <w:color w:val="auto"/>
          <w:sz w:val="21"/>
          <w:szCs w:val="22"/>
          <w:highlight w:val="none"/>
        </w:rPr>
        <w:t xml:space="preserve">二、申请人的资格要求</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1.</w:t>
      </w:r>
      <w:r>
        <w:rPr>
          <w:rFonts w:hint="eastAsia" w:asciiTheme="minorEastAsia" w:hAnsiTheme="minorEastAsia" w:eastAsiaTheme="minorEastAsia" w:cstheme="minorEastAsia"/>
          <w:color w:val="auto"/>
          <w:sz w:val="21"/>
          <w:szCs w:val="21"/>
          <w:highlight w:val="none"/>
        </w:rPr>
        <w:t xml:space="preserve">满足《中华人民共和国政府采购法》第二十二条规定，投标人应当具备下列条件：</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（1）具有独立承担民事责任的能力；</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（2）具有良好的商业信誉和健全的财务会计制度；</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（3）具有履行合同所必需的设备和专业技术能力；</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（4）有依法缴纳税收和社会保障资金的良好记录；</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（5）参加政府采购活动前三年内，在经营活动中没有重大违法记录；</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（6）法律、行政法规规定的其他条件。 </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w:t>
      </w:r>
      <w:r>
        <w:rPr>
          <w:rFonts w:hint="eastAsia" w:asciiTheme="minorEastAsia" w:hAnsiTheme="minorEastAsia" w:eastAsiaTheme="minorEastAsia" w:cstheme="minorEastAsia"/>
          <w:color w:val="auto"/>
          <w:sz w:val="21"/>
          <w:szCs w:val="21"/>
          <w:highlight w:val="none"/>
        </w:rPr>
        <w:t xml:space="preserve">落实政府采购政策需满足的资格要求：本项目非专门面向中小企业采购，所属行业为其他未列明行业。</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3.</w:t>
      </w:r>
      <w:r>
        <w:rPr>
          <w:rFonts w:hint="eastAsia" w:asciiTheme="minorEastAsia" w:hAnsiTheme="minorEastAsia" w:eastAsiaTheme="minorEastAsia" w:cstheme="minorEastAsia"/>
          <w:color w:val="auto"/>
          <w:sz w:val="21"/>
          <w:szCs w:val="21"/>
          <w:highlight w:val="none"/>
        </w:rPr>
        <w:t xml:space="preserve">本项目的特定资格要求：</w:t>
      </w:r>
      <w:r/>
    </w:p>
    <w:p>
      <w:pPr>
        <w:ind w:firstLine="42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w:t>
      </w:r>
      <w:r>
        <w:rPr>
          <w:rFonts w:hint="eastAsia" w:asciiTheme="minorEastAsia" w:hAnsiTheme="minorEastAsia" w:eastAsiaTheme="minorEastAsia" w:cstheme="minorEastAsia"/>
          <w:b/>
          <w:bCs/>
          <w:color w:val="auto"/>
          <w:sz w:val="21"/>
          <w:szCs w:val="21"/>
          <w:highlight w:val="none"/>
        </w:rPr>
        <w:t xml:space="preserve">供应商须具有测绘地理信息主管部门颁发的</w:t>
      </w:r>
      <w:r>
        <w:rPr>
          <w:rFonts w:hint="eastAsia" w:asciiTheme="minorEastAsia" w:hAnsiTheme="minorEastAsia" w:eastAsiaTheme="minorEastAsia" w:cstheme="minorEastAsia"/>
          <w:b/>
          <w:bCs/>
          <w:color w:val="auto"/>
          <w:sz w:val="21"/>
          <w:szCs w:val="21"/>
          <w:highlight w:val="none"/>
          <w:lang w:val="en-US" w:eastAsia="zh-CN"/>
        </w:rPr>
        <w:t xml:space="preserve">甲级</w:t>
      </w:r>
      <w:r>
        <w:rPr>
          <w:rFonts w:hint="eastAsia" w:asciiTheme="minorEastAsia" w:hAnsiTheme="minorEastAsia" w:eastAsiaTheme="minorEastAsia" w:cstheme="minorEastAsia"/>
          <w:b/>
          <w:bCs/>
          <w:color w:val="auto"/>
          <w:sz w:val="21"/>
          <w:szCs w:val="21"/>
          <w:highlight w:val="none"/>
        </w:rPr>
        <w:t xml:space="preserve">测绘资质证书</w:t>
      </w:r>
      <w:r>
        <w:rPr>
          <w:rFonts w:hint="eastAsia" w:asciiTheme="minorEastAsia" w:hAnsiTheme="minorEastAsia" w:eastAsiaTheme="minorEastAsia" w:cstheme="minorEastAsia"/>
          <w:b/>
          <w:bCs/>
          <w:color w:val="auto"/>
          <w:sz w:val="21"/>
          <w:szCs w:val="21"/>
          <w:highlight w:val="none"/>
        </w:rPr>
        <w:t xml:space="preserve">，专业范围必须同时包含地理信息系统工程及工程测量。</w:t>
      </w:r>
      <w:r/>
    </w:p>
    <w:p>
      <w:pPr>
        <w:ind w:firstLine="420"/>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w:t>
      </w:r>
      <w:r>
        <w:rPr>
          <w:rFonts w:hint="eastAsia" w:asciiTheme="minorEastAsia" w:hAnsiTheme="minorEastAsia" w:eastAsiaTheme="minorEastAsia" w:cstheme="minorEastAsia"/>
          <w:b/>
          <w:bCs/>
          <w:color w:val="auto"/>
          <w:sz w:val="21"/>
          <w:szCs w:val="21"/>
          <w:highlight w:val="none"/>
          <w:lang w:val="en-US" w:eastAsia="zh-CN"/>
        </w:rPr>
        <w:t xml:space="preserve">本项目接受联合体投标，</w:t>
      </w:r>
      <w:r>
        <w:rPr>
          <w:rFonts w:hint="eastAsia" w:asciiTheme="minorEastAsia" w:hAnsiTheme="minorEastAsia" w:eastAsiaTheme="minorEastAsia" w:cstheme="minorEastAsia"/>
          <w:b/>
          <w:bCs/>
          <w:color w:val="auto"/>
          <w:sz w:val="21"/>
          <w:szCs w:val="21"/>
          <w:highlight w:val="none"/>
        </w:rPr>
        <w:t xml:space="preserve">联合体成员单位数量不超过</w:t>
      </w:r>
      <w:r>
        <w:rPr>
          <w:rFonts w:hint="eastAsia" w:asciiTheme="minorEastAsia" w:hAnsiTheme="minorEastAsia" w:eastAsiaTheme="minorEastAsia" w:cstheme="minorEastAsia"/>
          <w:b/>
          <w:bCs/>
          <w:color w:val="auto"/>
          <w:sz w:val="21"/>
          <w:szCs w:val="21"/>
          <w:highlight w:val="none"/>
          <w:lang w:eastAsia="zh-CN"/>
        </w:rPr>
        <w:t xml:space="preserve">2</w:t>
      </w:r>
      <w:r>
        <w:rPr>
          <w:rFonts w:hint="eastAsia" w:asciiTheme="minorEastAsia" w:hAnsiTheme="minorEastAsia" w:eastAsiaTheme="minorEastAsia" w:cstheme="minorEastAsia"/>
          <w:b/>
          <w:bCs/>
          <w:color w:val="auto"/>
          <w:sz w:val="21"/>
          <w:szCs w:val="21"/>
          <w:highlight w:val="none"/>
        </w:rPr>
        <w:t xml:space="preserve">家</w:t>
      </w:r>
      <w:r>
        <w:rPr>
          <w:rFonts w:hint="eastAsia" w:asciiTheme="minorEastAsia" w:hAnsiTheme="minorEastAsia" w:eastAsiaTheme="minorEastAsia" w:cstheme="minorEastAsia"/>
          <w:b/>
          <w:bCs/>
          <w:color w:val="auto"/>
          <w:sz w:val="21"/>
          <w:szCs w:val="21"/>
          <w:highlight w:val="none"/>
          <w:lang w:val="en-US" w:eastAsia="zh-CN"/>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4.</w:t>
      </w:r>
      <w:r>
        <w:rPr>
          <w:rFonts w:hint="eastAsia" w:asciiTheme="minorEastAsia" w:hAnsiTheme="minorEastAsia" w:eastAsiaTheme="minorEastAsia" w:cstheme="minorEastAsia"/>
          <w:color w:val="auto"/>
          <w:sz w:val="21"/>
          <w:szCs w:val="21"/>
          <w:highlight w:val="none"/>
        </w:rPr>
        <w:t xml:space="preserve">其他资格要求：</w:t>
      </w:r>
      <w:r/>
    </w:p>
    <w:p>
      <w:pPr>
        <w:ind w:firstLine="420"/>
        <w:spacing w:line="360" w:lineRule="auto"/>
        <w:tabs>
          <w:tab w:val="left" w:pos="360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（1）未被“信用中国”网站（www.creditchina.gov.cn）或“中国政府采购网”网站（www.ccgp.gov.cn）列入失信被执行人、重大税收违法案件当事人名单、政府采购严重失信行为记录名单；</w:t>
      </w:r>
      <w:r/>
    </w:p>
    <w:p>
      <w:pPr>
        <w:ind w:firstLine="420"/>
        <w:spacing w:line="360" w:lineRule="auto"/>
        <w:tabs>
          <w:tab w:val="left" w:pos="360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tabs>
          <w:tab w:val="left" w:pos="360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（3）法人的分支机构不得参加投标（除银行、保险、石油石化、电力、电信等行业特殊情况外）。</w:t>
      </w:r>
      <w:r/>
    </w:p>
    <w:p>
      <w:pPr>
        <w:ind w:firstLine="42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三、报名及采购文件的获取</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1.</w:t>
      </w:r>
      <w:r>
        <w:rPr>
          <w:rFonts w:hint="eastAsia" w:asciiTheme="minorEastAsia" w:hAnsiTheme="minorEastAsia" w:eastAsiaTheme="minorEastAsia" w:cstheme="minorEastAsia"/>
          <w:color w:val="auto"/>
          <w:sz w:val="21"/>
          <w:szCs w:val="21"/>
          <w:highlight w:val="none"/>
        </w:rPr>
        <w:t xml:space="preserve">报名截止时间：自公告发布之日起5个工作日。</w:t>
      </w:r>
      <w:r/>
    </w:p>
    <w:p>
      <w:pPr>
        <w:ind w:firstLine="420"/>
        <w:spacing w:line="360" w:lineRule="auto"/>
        <w:rPr>
          <w:rFonts w:hint="eastAsia" w:asciiTheme="minorEastAsia" w:hAnsiTheme="minorEastAsia" w:eastAsiaTheme="minorEastAsia" w:cstheme="minorEastAsia"/>
          <w:color w:val="auto"/>
          <w:sz w:val="21"/>
          <w:szCs w:val="21"/>
          <w:highlight w:val="none"/>
        </w:rPr>
      </w:pPr>
      <w:r/>
      <w:bookmarkStart w:id="7" w:name="OLE_LINK9"/>
      <w:r>
        <w:rPr>
          <w:rFonts w:hint="eastAsia" w:asciiTheme="minorEastAsia" w:hAnsiTheme="minorEastAsia" w:eastAsiaTheme="minorEastAsia" w:cstheme="minorEastAsia"/>
          <w:color w:val="auto"/>
          <w:sz w:val="21"/>
          <w:szCs w:val="21"/>
          <w:highlight w:val="none"/>
          <w:lang w:eastAsia="zh-CN"/>
        </w:rPr>
        <w:t xml:space="preserve">2.</w:t>
      </w:r>
      <w:r>
        <w:rPr>
          <w:rFonts w:hint="eastAsia" w:asciiTheme="minorEastAsia" w:hAnsiTheme="minorEastAsia" w:eastAsiaTheme="minorEastAsia" w:cstheme="minorEastAsia"/>
          <w:color w:val="auto"/>
          <w:sz w:val="21"/>
          <w:szCs w:val="21"/>
          <w:highlight w:val="none"/>
        </w:rPr>
        <w:t xml:space="preserve">报名方式（网上报名）：</w:t>
      </w:r>
      <w:r/>
    </w:p>
    <w:p>
      <w:pPr>
        <w:ind w:firstLine="420"/>
        <w:spacing w:line="360" w:lineRule="auto"/>
        <w:rPr>
          <w:rFonts w:hint="eastAsia" w:asciiTheme="minorEastAsia" w:hAnsiTheme="minorEastAsia" w:eastAsiaTheme="minorEastAsia" w:cstheme="minorEastAsia"/>
          <w:color w:val="auto"/>
          <w:sz w:val="21"/>
          <w:szCs w:val="21"/>
          <w:highlight w:val="none"/>
        </w:rPr>
      </w:pPr>
      <w:r/>
      <w:bookmarkStart w:id="8" w:name="_Toc28359015"/>
      <w:r/>
      <w:bookmarkStart w:id="9" w:name="_Toc35393632"/>
      <w:r/>
      <w:bookmarkStart w:id="10" w:name="_Toc35393801"/>
      <w:r/>
      <w:bookmarkStart w:id="11" w:name="_Toc28359092"/>
      <w:r>
        <w:rPr>
          <w:rFonts w:hint="eastAsia" w:asciiTheme="minorEastAsia" w:hAnsiTheme="minorEastAsia" w:eastAsiaTheme="minorEastAsia" w:cstheme="minorEastAsia"/>
          <w:color w:val="auto"/>
          <w:sz w:val="21"/>
          <w:szCs w:val="21"/>
          <w:highlight w:val="none"/>
        </w:rPr>
        <w:t xml:space="preserve">（1）CA证书办理</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 65737699。</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（2）参与采购活动</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供应商插入CA证书</w:t>
      </w:r>
      <w:r>
        <w:rPr>
          <w:rFonts w:hint="eastAsia" w:asciiTheme="minorEastAsia" w:hAnsiTheme="minorEastAsia" w:eastAsiaTheme="minorEastAsia" w:cstheme="minorEastAsia"/>
          <w:color w:val="auto"/>
          <w:sz w:val="21"/>
          <w:szCs w:val="21"/>
          <w:highlight w:val="none"/>
          <w:lang w:eastAsia="zh-CN"/>
        </w:rPr>
        <w:t xml:space="preserve">登录</w:t>
      </w:r>
      <w:r>
        <w:rPr>
          <w:rFonts w:hint="eastAsia" w:asciiTheme="minorEastAsia" w:hAnsiTheme="minorEastAsia" w:eastAsiaTheme="minorEastAsia" w:cstheme="minorEastAsia"/>
          <w:color w:val="auto"/>
          <w:sz w:val="21"/>
          <w:szCs w:val="21"/>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（3）电子投标准备</w:t>
      </w:r>
      <w:r/>
    </w:p>
    <w:p>
      <w:pPr>
        <w:ind w:firstLine="42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供应商在“苏采云”系统中操作参与项目后，必须在“已参与项目”界面中下载电子采购文件（后缀名为“.kedt”）并导入政府采购客户端工具后方可进行响应文件制作和提交</w:t>
      </w:r>
      <w:r>
        <w:rPr>
          <w:rFonts w:hint="eastAsia" w:asciiTheme="minorEastAsia" w:hAnsiTheme="minorEastAsia" w:eastAsiaTheme="minorEastAsia" w:cstheme="minorEastAsia"/>
          <w:b/>
          <w:bCs/>
          <w:color w:val="auto"/>
          <w:sz w:val="21"/>
          <w:szCs w:val="21"/>
          <w:highlight w:val="none"/>
        </w:rPr>
        <w:t xml:space="preserve">（具体详见《苏采云系统供应商操作手册》，网址链接https://czju.suzhou.gov.cn/zfcg/html/content/20231220161910031.shtml）。</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在系统操作过程中如有疑问，请按以下方式联系：</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注册咨询：18261002950；</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CA技术咨询电话：400-608-6099；</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签章使用问题：025-83633811、025-83633812、15380932027、15371015030；</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系统使用指导与咨询：联系电话：18261002950；QQ：3048755361、1315179389、895706745。</w:t>
      </w:r>
      <w:bookmarkEnd w:id="7"/>
      <w:r/>
      <w:r/>
    </w:p>
    <w:p>
      <w:pPr>
        <w:ind w:firstLine="42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四、投标文件提交</w:t>
      </w:r>
      <w:bookmarkEnd w:id="8"/>
      <w:r/>
      <w:bookmarkEnd w:id="9"/>
      <w:r/>
      <w:bookmarkEnd w:id="10"/>
      <w:r/>
      <w:bookmarkEnd w:id="11"/>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1.</w:t>
      </w:r>
      <w:r>
        <w:rPr>
          <w:rFonts w:hint="eastAsia" w:asciiTheme="minorEastAsia" w:hAnsiTheme="minorEastAsia" w:eastAsiaTheme="minorEastAsia" w:cstheme="minorEastAsia"/>
          <w:color w:val="auto"/>
          <w:sz w:val="21"/>
          <w:szCs w:val="21"/>
          <w:highlight w:val="none"/>
        </w:rPr>
        <w:t xml:space="preserve">截止时间：</w:t>
      </w:r>
      <w:bookmarkStart w:id="12" w:name="XMKBSJ_2"/>
      <w:r>
        <w:rPr>
          <w:rFonts w:hint="eastAsia" w:asciiTheme="minorEastAsia" w:hAnsiTheme="minorEastAsia" w:eastAsiaTheme="minorEastAsia" w:cstheme="minorEastAsia"/>
          <w:color w:val="auto"/>
          <w:sz w:val="21"/>
          <w:szCs w:val="21"/>
          <w:highlight w:val="none"/>
          <w:u w:val="single"/>
        </w:rPr>
        <w:t xml:space="preserve">202</w:t>
      </w:r>
      <w:r>
        <w:rPr>
          <w:rFonts w:hint="eastAsia" w:asciiTheme="minorEastAsia" w:hAnsiTheme="minorEastAsia" w:eastAsiaTheme="minorEastAsia" w:cstheme="minorEastAsia"/>
          <w:color w:val="auto"/>
          <w:sz w:val="21"/>
          <w:szCs w:val="21"/>
          <w:highlight w:val="none"/>
          <w:u w:val="single"/>
          <w:lang w:val="en-US" w:eastAsia="zh-CN"/>
        </w:rPr>
        <w:t xml:space="preserve">6</w:t>
      </w:r>
      <w:r>
        <w:rPr>
          <w:rFonts w:hint="eastAsia" w:asciiTheme="minorEastAsia" w:hAnsiTheme="minorEastAsia" w:eastAsiaTheme="minorEastAsia" w:cstheme="minorEastAsia"/>
          <w:color w:val="auto"/>
          <w:sz w:val="21"/>
          <w:szCs w:val="21"/>
          <w:highlight w:val="none"/>
          <w:u w:val="single"/>
        </w:rPr>
        <w:t xml:space="preserve">年</w:t>
      </w:r>
      <w:r>
        <w:rPr>
          <w:rFonts w:hint="eastAsia" w:asciiTheme="minorEastAsia" w:hAnsiTheme="minorEastAsia" w:eastAsiaTheme="minorEastAsia" w:cstheme="minorEastAsia"/>
          <w:color w:val="auto"/>
          <w:sz w:val="21"/>
          <w:szCs w:val="21"/>
          <w:highlight w:val="none"/>
          <w:u w:val="single"/>
          <w:lang w:val="en-US" w:eastAsia="zh-CN"/>
        </w:rPr>
        <w:t xml:space="preserve">06</w:t>
      </w:r>
      <w:r>
        <w:rPr>
          <w:rFonts w:hint="eastAsia" w:asciiTheme="minorEastAsia" w:hAnsiTheme="minorEastAsia" w:eastAsiaTheme="minorEastAsia" w:cstheme="minorEastAsia"/>
          <w:color w:val="auto"/>
          <w:sz w:val="21"/>
          <w:szCs w:val="21"/>
          <w:highlight w:val="none"/>
          <w:u w:val="single"/>
        </w:rPr>
        <w:t xml:space="preserve">月</w:t>
      </w:r>
      <w:r>
        <w:rPr>
          <w:rFonts w:hint="eastAsia" w:asciiTheme="minorEastAsia" w:hAnsiTheme="minorEastAsia" w:eastAsiaTheme="minorEastAsia" w:cstheme="minorEastAsia"/>
          <w:color w:val="auto"/>
          <w:sz w:val="21"/>
          <w:szCs w:val="21"/>
          <w:highlight w:val="none"/>
          <w:u w:val="single"/>
          <w:lang w:val="en-US" w:eastAsia="zh-CN"/>
        </w:rPr>
        <w:t xml:space="preserve">10</w:t>
      </w:r>
      <w:r>
        <w:rPr>
          <w:rFonts w:hint="eastAsia" w:asciiTheme="minorEastAsia" w:hAnsiTheme="minorEastAsia" w:eastAsiaTheme="minorEastAsia" w:cstheme="minorEastAsia"/>
          <w:color w:val="auto"/>
          <w:sz w:val="21"/>
          <w:szCs w:val="21"/>
          <w:highlight w:val="none"/>
          <w:u w:val="single"/>
        </w:rPr>
        <w:t xml:space="preserve">日13点30分</w:t>
      </w:r>
      <w:bookmarkEnd w:id="12"/>
      <w:r>
        <w:rPr>
          <w:rFonts w:hint="eastAsia" w:asciiTheme="minorEastAsia" w:hAnsiTheme="minorEastAsia" w:eastAsiaTheme="minorEastAsia" w:cstheme="minorEastAsia"/>
          <w:color w:val="auto"/>
          <w:sz w:val="21"/>
          <w:szCs w:val="21"/>
          <w:highlight w:val="none"/>
          <w:u w:val="single"/>
        </w:rPr>
        <w:t xml:space="preserve">（北京时间）</w:t>
      </w:r>
      <w:r/>
    </w:p>
    <w:p>
      <w:pPr>
        <w:ind w:firstLine="420"/>
        <w:spacing w:line="360" w:lineRule="auto"/>
        <w:rPr>
          <w:rFonts w:hint="eastAsia" w:asciiTheme="minorEastAsia" w:hAnsiTheme="minorEastAsia" w:eastAsiaTheme="minorEastAsia" w:cstheme="minorEastAsia"/>
          <w:color w:val="auto"/>
          <w:sz w:val="21"/>
          <w:szCs w:val="21"/>
          <w:highlight w:val="none"/>
        </w:rPr>
      </w:pPr>
      <w:r/>
      <w:bookmarkStart w:id="13" w:name="_Toc28359094"/>
      <w:r/>
      <w:bookmarkStart w:id="14" w:name="_Toc35393803"/>
      <w:r/>
      <w:bookmarkStart w:id="15" w:name="_Toc35393634"/>
      <w:r/>
      <w:bookmarkStart w:id="16" w:name="_Toc28359017"/>
      <w:r>
        <w:rPr>
          <w:rFonts w:hint="eastAsia" w:asciiTheme="minorEastAsia" w:hAnsiTheme="minorEastAsia" w:eastAsiaTheme="minorEastAsia" w:cstheme="minorEastAsia"/>
          <w:color w:val="auto"/>
          <w:sz w:val="21"/>
          <w:szCs w:val="21"/>
          <w:highlight w:val="none"/>
          <w:lang w:eastAsia="zh-CN"/>
        </w:rPr>
        <w:t xml:space="preserve">2.</w:t>
      </w:r>
      <w:r>
        <w:rPr>
          <w:rFonts w:hint="eastAsia" w:asciiTheme="minorEastAsia" w:hAnsiTheme="minorEastAsia" w:eastAsiaTheme="minorEastAsia" w:cstheme="minorEastAsia"/>
          <w:color w:val="auto"/>
          <w:sz w:val="21"/>
          <w:szCs w:val="21"/>
          <w:highlight w:val="none"/>
        </w:rPr>
        <w:t xml:space="preserve">地点：</w:t>
      </w:r>
      <w:r>
        <w:rPr>
          <w:rFonts w:hint="eastAsia" w:asciiTheme="minorEastAsia" w:hAnsiTheme="minorEastAsia" w:eastAsiaTheme="minorEastAsia" w:cstheme="minorEastAsia"/>
          <w:b/>
          <w:bCs/>
          <w:color w:val="auto"/>
          <w:sz w:val="21"/>
          <w:szCs w:val="21"/>
          <w:highlight w:val="none"/>
        </w:rPr>
        <w:t xml:space="preserve">“苏采云”系统（网址：http://jszfcg.jsczt.cn/）</w:t>
      </w:r>
      <w:r>
        <w:rPr>
          <w:rFonts w:hint="eastAsia" w:asciiTheme="minorEastAsia" w:hAnsiTheme="minorEastAsia" w:eastAsiaTheme="minorEastAsia" w:cstheme="minorEastAsia"/>
          <w:color w:val="auto"/>
          <w:sz w:val="21"/>
          <w:szCs w:val="21"/>
          <w:highlight w:val="none"/>
        </w:rPr>
        <w:t xml:space="preserve">。投标文件网上递交，不需要现场参加采购活动，无需提供纸质响应文件。</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3.</w:t>
      </w:r>
      <w:r>
        <w:rPr>
          <w:rFonts w:hint="eastAsia" w:asciiTheme="minorEastAsia" w:hAnsiTheme="minorEastAsia" w:eastAsiaTheme="minorEastAsia" w:cstheme="minorEastAsia"/>
          <w:color w:val="auto"/>
          <w:sz w:val="21"/>
          <w:szCs w:val="21"/>
          <w:highlight w:val="none"/>
        </w:rPr>
        <w:t xml:space="preserve">本项目采用电子招投标形式，请供应商按照《苏采云系统供应商操作手册》进行制作、上传电子投标文件。电子投标文件制作完成后请于投标文件提交截止时间前成功上传至“苏采云”系统，否则视为放弃参加该采购项目。</w:t>
      </w:r>
      <w:r>
        <w:rPr>
          <w:rFonts w:hint="eastAsia" w:asciiTheme="minorEastAsia" w:hAnsiTheme="minorEastAsia" w:eastAsiaTheme="minorEastAsia" w:cstheme="minorEastAsia"/>
          <w:b/>
          <w:bCs/>
          <w:color w:val="auto"/>
          <w:sz w:val="21"/>
          <w:szCs w:val="21"/>
          <w:highlight w:val="none"/>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五、开启</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1.</w:t>
      </w:r>
      <w:r>
        <w:rPr>
          <w:rFonts w:hint="eastAsia" w:asciiTheme="minorEastAsia" w:hAnsiTheme="minorEastAsia" w:eastAsiaTheme="minorEastAsia" w:cstheme="minorEastAsia"/>
          <w:color w:val="auto"/>
          <w:sz w:val="21"/>
          <w:szCs w:val="21"/>
          <w:highlight w:val="none"/>
        </w:rPr>
        <w:t xml:space="preserve">截止时间：</w:t>
      </w:r>
      <w:r>
        <w:rPr>
          <w:rFonts w:hint="eastAsia" w:asciiTheme="minorEastAsia" w:hAnsiTheme="minorEastAsia" w:eastAsiaTheme="minorEastAsia" w:cstheme="minorEastAsia"/>
          <w:color w:val="auto"/>
          <w:sz w:val="21"/>
          <w:szCs w:val="21"/>
          <w:highlight w:val="none"/>
          <w:u w:val="single"/>
        </w:rPr>
        <w:t xml:space="preserve">202</w:t>
      </w:r>
      <w:r>
        <w:rPr>
          <w:rFonts w:hint="eastAsia" w:asciiTheme="minorEastAsia" w:hAnsiTheme="minorEastAsia" w:eastAsiaTheme="minorEastAsia" w:cstheme="minorEastAsia"/>
          <w:color w:val="auto"/>
          <w:sz w:val="21"/>
          <w:szCs w:val="21"/>
          <w:highlight w:val="none"/>
          <w:u w:val="single"/>
          <w:lang w:val="en-US" w:eastAsia="zh-CN"/>
        </w:rPr>
        <w:t xml:space="preserve">6</w:t>
      </w:r>
      <w:r>
        <w:rPr>
          <w:rFonts w:hint="eastAsia" w:asciiTheme="minorEastAsia" w:hAnsiTheme="minorEastAsia" w:eastAsiaTheme="minorEastAsia" w:cstheme="minorEastAsia"/>
          <w:color w:val="auto"/>
          <w:sz w:val="21"/>
          <w:szCs w:val="21"/>
          <w:highlight w:val="none"/>
          <w:u w:val="single"/>
        </w:rPr>
        <w:t xml:space="preserve">年</w:t>
      </w:r>
      <w:r>
        <w:rPr>
          <w:rFonts w:hint="eastAsia" w:asciiTheme="minorEastAsia" w:hAnsiTheme="minorEastAsia" w:eastAsiaTheme="minorEastAsia" w:cstheme="minorEastAsia"/>
          <w:color w:val="auto"/>
          <w:sz w:val="21"/>
          <w:szCs w:val="21"/>
          <w:highlight w:val="none"/>
          <w:u w:val="single"/>
          <w:lang w:val="en-US" w:eastAsia="zh-CN"/>
        </w:rPr>
        <w:t xml:space="preserve">06</w:t>
      </w:r>
      <w:r>
        <w:rPr>
          <w:rFonts w:hint="eastAsia" w:asciiTheme="minorEastAsia" w:hAnsiTheme="minorEastAsia" w:eastAsiaTheme="minorEastAsia" w:cstheme="minorEastAsia"/>
          <w:color w:val="auto"/>
          <w:sz w:val="21"/>
          <w:szCs w:val="21"/>
          <w:highlight w:val="none"/>
          <w:u w:val="single"/>
        </w:rPr>
        <w:t xml:space="preserve">月</w:t>
      </w:r>
      <w:r>
        <w:rPr>
          <w:rFonts w:hint="eastAsia" w:asciiTheme="minorEastAsia" w:hAnsiTheme="minorEastAsia" w:eastAsiaTheme="minorEastAsia" w:cstheme="minorEastAsia"/>
          <w:color w:val="auto"/>
          <w:sz w:val="21"/>
          <w:szCs w:val="21"/>
          <w:highlight w:val="none"/>
          <w:u w:val="single"/>
          <w:lang w:val="en-US" w:eastAsia="zh-CN"/>
        </w:rPr>
        <w:t xml:space="preserve">10</w:t>
      </w:r>
      <w:r>
        <w:rPr>
          <w:rFonts w:hint="eastAsia" w:asciiTheme="minorEastAsia" w:hAnsiTheme="minorEastAsia" w:eastAsiaTheme="minorEastAsia" w:cstheme="minorEastAsia"/>
          <w:color w:val="auto"/>
          <w:sz w:val="21"/>
          <w:szCs w:val="21"/>
          <w:highlight w:val="none"/>
          <w:u w:val="single"/>
        </w:rPr>
        <w:t xml:space="preserve">日13点30分（北京时间）</w:t>
      </w:r>
      <w:r/>
    </w:p>
    <w:p>
      <w:pPr>
        <w:ind w:firstLine="42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w:t>
      </w:r>
      <w:r>
        <w:rPr>
          <w:rFonts w:hint="eastAsia" w:asciiTheme="minorEastAsia" w:hAnsiTheme="minorEastAsia" w:eastAsiaTheme="minorEastAsia" w:cstheme="minorEastAsia"/>
          <w:color w:val="auto"/>
          <w:sz w:val="21"/>
          <w:szCs w:val="21"/>
          <w:highlight w:val="none"/>
        </w:rPr>
        <w:t xml:space="preserve">地点：</w:t>
      </w:r>
      <w:r>
        <w:rPr>
          <w:rFonts w:hint="eastAsia" w:asciiTheme="minorEastAsia" w:hAnsiTheme="minorEastAsia" w:eastAsiaTheme="minorEastAsia" w:cstheme="minorEastAsia"/>
          <w:b/>
          <w:bCs/>
          <w:color w:val="auto"/>
          <w:sz w:val="21"/>
          <w:szCs w:val="21"/>
          <w:highlight w:val="none"/>
        </w:rPr>
        <w:t xml:space="preserve">“苏采云”系统（网址：http://jszfcg.jsczt.cn/）</w:t>
      </w:r>
      <w:r/>
    </w:p>
    <w:p>
      <w:pPr>
        <w:ind w:firstLine="42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3.</w:t>
      </w:r>
      <w:r>
        <w:rPr>
          <w:rFonts w:hint="eastAsia" w:asciiTheme="minorEastAsia" w:hAnsiTheme="minorEastAsia" w:eastAsiaTheme="minorEastAsia" w:cstheme="minorEastAsia"/>
          <w:color w:val="auto"/>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Theme="minorEastAsia" w:hAnsiTheme="minorEastAsia" w:eastAsiaTheme="minorEastAsia" w:cstheme="minorEastAsia"/>
          <w:b/>
          <w:bCs/>
          <w:color w:val="auto"/>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ind w:firstLine="42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请供应商确保电脑、系统及其他设备（视频输入输出设备等）无误，且开启直至项目结束始终保持系统在线状态。</w:t>
      </w:r>
      <w:r/>
    </w:p>
    <w:p>
      <w:pPr>
        <w:ind w:firstLine="42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六、公告期限</w:t>
      </w:r>
      <w:bookmarkEnd w:id="13"/>
      <w:r/>
      <w:bookmarkEnd w:id="14"/>
      <w:r/>
      <w:bookmarkEnd w:id="15"/>
      <w:r/>
      <w:bookmarkEnd w:id="16"/>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自本公告发布之日起5个工作日。</w:t>
      </w:r>
      <w:r/>
    </w:p>
    <w:p>
      <w:pPr>
        <w:ind w:firstLine="422"/>
        <w:spacing w:line="360" w:lineRule="auto"/>
        <w:rPr>
          <w:rFonts w:hint="eastAsia" w:asciiTheme="minorEastAsia" w:hAnsiTheme="minorEastAsia" w:eastAsiaTheme="minorEastAsia" w:cstheme="minorEastAsia"/>
          <w:b/>
          <w:bCs/>
          <w:color w:val="auto"/>
          <w:sz w:val="21"/>
          <w:szCs w:val="21"/>
          <w:highlight w:val="none"/>
        </w:rPr>
      </w:pPr>
      <w:r/>
      <w:bookmarkStart w:id="17" w:name="_Toc35393635"/>
      <w:r/>
      <w:bookmarkStart w:id="18" w:name="_Toc35393804"/>
      <w:r>
        <w:rPr>
          <w:rFonts w:hint="eastAsia" w:asciiTheme="minorEastAsia" w:hAnsiTheme="minorEastAsia" w:eastAsiaTheme="minorEastAsia" w:cstheme="minorEastAsia"/>
          <w:b/>
          <w:bCs/>
          <w:color w:val="auto"/>
          <w:sz w:val="21"/>
          <w:szCs w:val="21"/>
          <w:highlight w:val="none"/>
        </w:rPr>
        <w:t xml:space="preserve">七</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其他补充事宜</w:t>
      </w:r>
      <w:bookmarkEnd w:id="17"/>
      <w:r/>
      <w:bookmarkEnd w:id="18"/>
      <w:r/>
      <w:r/>
    </w:p>
    <w:p>
      <w:pPr>
        <w:ind w:firstLine="420"/>
        <w:spacing w:line="360" w:lineRule="auto"/>
        <w:rPr>
          <w:rFonts w:hint="eastAsia" w:asciiTheme="minorEastAsia" w:hAnsiTheme="minorEastAsia" w:eastAsiaTheme="minorEastAsia" w:cstheme="minorEastAsia"/>
          <w:color w:val="auto"/>
          <w:sz w:val="21"/>
          <w:szCs w:val="21"/>
          <w:highlight w:val="none"/>
        </w:rPr>
      </w:pPr>
      <w:r/>
      <w:bookmarkStart w:id="19" w:name="OLE_LINK7"/>
      <w:r>
        <w:rPr>
          <w:rFonts w:hint="eastAsia" w:asciiTheme="minorEastAsia" w:hAnsiTheme="minorEastAsia" w:eastAsiaTheme="minorEastAsia" w:cstheme="minorEastAsia"/>
          <w:color w:val="auto"/>
          <w:sz w:val="21"/>
          <w:szCs w:val="21"/>
          <w:highlight w:val="none"/>
          <w:lang w:eastAsia="zh-CN"/>
        </w:rPr>
        <w:t xml:space="preserve">1.</w:t>
      </w:r>
      <w:r>
        <w:rPr>
          <w:rFonts w:hint="eastAsia" w:asciiTheme="minorEastAsia" w:hAnsiTheme="minorEastAsia" w:eastAsiaTheme="minorEastAsia" w:cstheme="minorEastAsia"/>
          <w:color w:val="auto"/>
          <w:sz w:val="21"/>
          <w:szCs w:val="21"/>
          <w:highlight w:val="none"/>
        </w:rPr>
        <w:t xml:space="preserve">有关本项目电子投标具体操作方法详见</w:t>
      </w:r>
      <w:r>
        <w:rPr>
          <w:rFonts w:hint="eastAsia" w:asciiTheme="minorEastAsia" w:hAnsiTheme="minorEastAsia" w:eastAsiaTheme="minorEastAsia" w:cstheme="minorEastAsia"/>
          <w:b/>
          <w:bCs/>
          <w:color w:val="auto"/>
          <w:sz w:val="21"/>
          <w:szCs w:val="21"/>
          <w:highlight w:val="none"/>
        </w:rPr>
        <w:t xml:space="preserve">苏采云系统中的客户端使用说明和供应商《操作手册》</w:t>
      </w:r>
      <w:r>
        <w:rPr>
          <w:rFonts w:hint="eastAsia" w:asciiTheme="minorEastAsia" w:hAnsiTheme="minorEastAsia" w:eastAsiaTheme="minorEastAsia" w:cstheme="minorEastAsia"/>
          <w:color w:val="auto"/>
          <w:sz w:val="21"/>
          <w:szCs w:val="21"/>
          <w:highlight w:val="none"/>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rPr>
      </w:pPr>
      <w:r/>
      <w:bookmarkStart w:id="20" w:name="OLE_LINK8"/>
      <w:r>
        <w:rPr>
          <w:rFonts w:hint="eastAsia" w:asciiTheme="minorEastAsia" w:hAnsiTheme="minorEastAsia" w:eastAsiaTheme="minorEastAsia" w:cstheme="minorEastAsia"/>
          <w:color w:val="auto"/>
          <w:sz w:val="21"/>
          <w:szCs w:val="21"/>
          <w:highlight w:val="none"/>
          <w:lang w:eastAsia="zh-CN"/>
        </w:rPr>
        <w:t xml:space="preserve">2.</w:t>
      </w:r>
      <w:r>
        <w:rPr>
          <w:rFonts w:hint="eastAsia" w:asciiTheme="minorEastAsia" w:hAnsiTheme="minorEastAsia" w:eastAsiaTheme="minorEastAsia" w:cstheme="minorEastAsia"/>
          <w:color w:val="auto"/>
          <w:sz w:val="21"/>
          <w:szCs w:val="21"/>
          <w:highlight w:val="none"/>
        </w:rPr>
        <w:t xml:space="preserve">本公告有关信息将同时在中国政府采购网、江苏省政府采购网、苏州市政府采购网上发布，敬请留意。</w:t>
      </w:r>
      <w:bookmarkEnd w:id="20"/>
      <w:r/>
      <w:bookmarkEnd w:id="19"/>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3.</w:t>
      </w:r>
      <w:r>
        <w:rPr>
          <w:rFonts w:hint="eastAsia" w:asciiTheme="minorEastAsia" w:hAnsiTheme="minorEastAsia" w:eastAsiaTheme="minorEastAsia" w:cstheme="minorEastAsia"/>
          <w:color w:val="auto"/>
          <w:sz w:val="21"/>
          <w:szCs w:val="21"/>
          <w:highlight w:val="none"/>
        </w:rPr>
        <w:t xml:space="preserve">苏州市吴江区政府采购监督电话：0512-63982393。 </w:t>
      </w:r>
      <w:r/>
    </w:p>
    <w:p>
      <w:pPr>
        <w:ind w:firstLine="42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八、对本次招标提出询问，请按以下方式联系：</w:t>
      </w:r>
      <w:r/>
    </w:p>
    <w:p>
      <w:pPr>
        <w:ind w:firstLine="420"/>
        <w:spacing w:line="360" w:lineRule="auto"/>
        <w:rPr>
          <w:rFonts w:hint="eastAsia" w:asciiTheme="minorEastAsia" w:hAnsiTheme="minorEastAsia" w:eastAsiaTheme="minorEastAsia" w:cstheme="minorEastAsia"/>
          <w:color w:val="auto"/>
          <w:sz w:val="21"/>
          <w:szCs w:val="21"/>
          <w:highlight w:val="none"/>
        </w:rPr>
      </w:pPr>
      <w:r/>
      <w:bookmarkStart w:id="21" w:name="_Toc28359075"/>
      <w:r/>
      <w:bookmarkStart w:id="22" w:name="_Toc28358998"/>
      <w:r/>
      <w:bookmarkStart w:id="23" w:name="_Toc35393617"/>
      <w:r>
        <w:rPr>
          <w:rFonts w:hint="eastAsia" w:asciiTheme="minorEastAsia" w:hAnsiTheme="minorEastAsia" w:eastAsiaTheme="minorEastAsia" w:cstheme="minorEastAsia"/>
          <w:color w:val="auto"/>
          <w:sz w:val="21"/>
          <w:szCs w:val="21"/>
          <w:highlight w:val="none"/>
          <w:lang w:eastAsia="zh-CN"/>
        </w:rPr>
        <w:t xml:space="preserve">1.</w:t>
      </w:r>
      <w:r>
        <w:rPr>
          <w:rFonts w:hint="eastAsia" w:asciiTheme="minorEastAsia" w:hAnsiTheme="minorEastAsia" w:eastAsiaTheme="minorEastAsia" w:cstheme="minorEastAsia"/>
          <w:color w:val="auto"/>
          <w:sz w:val="21"/>
          <w:szCs w:val="21"/>
          <w:highlight w:val="none"/>
        </w:rPr>
        <w:t xml:space="preserve">采购人信息</w:t>
      </w:r>
      <w:bookmarkEnd w:id="21"/>
      <w:r/>
      <w:bookmarkEnd w:id="22"/>
      <w:r/>
      <w:bookmarkEnd w:id="23"/>
      <w:r/>
      <w:r/>
    </w:p>
    <w:p>
      <w:pPr>
        <w:ind w:firstLine="420"/>
        <w:spacing w:line="360" w:lineRule="auto"/>
        <w:tabs>
          <w:tab w:val="left" w:pos="3600" w:leader="none"/>
        </w:tabs>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名称：</w:t>
      </w:r>
      <w:r>
        <w:rPr>
          <w:rFonts w:hint="eastAsia" w:asciiTheme="minorEastAsia" w:hAnsiTheme="minorEastAsia" w:eastAsiaTheme="minorEastAsia" w:cstheme="minorEastAsia"/>
          <w:color w:val="auto"/>
          <w:sz w:val="21"/>
          <w:szCs w:val="21"/>
          <w:highlight w:val="none"/>
          <w:lang w:eastAsia="zh-CN"/>
        </w:rPr>
        <w:t xml:space="preserve">苏州市吴江区自然资源和规划局</w:t>
      </w:r>
      <w:r/>
    </w:p>
    <w:p>
      <w:pPr>
        <w:ind w:firstLine="420"/>
        <w:spacing w:line="360" w:lineRule="auto"/>
        <w:tabs>
          <w:tab w:val="left" w:pos="36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联系人：</w:t>
      </w:r>
      <w:r>
        <w:rPr>
          <w:rFonts w:hint="eastAsia" w:asciiTheme="minorEastAsia" w:hAnsiTheme="minorEastAsia" w:eastAsiaTheme="minorEastAsia" w:cstheme="minorEastAsia"/>
          <w:color w:val="auto"/>
          <w:sz w:val="21"/>
          <w:szCs w:val="21"/>
          <w:highlight w:val="none"/>
          <w:lang w:val="en-US" w:eastAsia="zh-CN"/>
        </w:rPr>
        <w:t xml:space="preserve">殷丽丽</w:t>
      </w:r>
      <w:r/>
    </w:p>
    <w:p>
      <w:pPr>
        <w:ind w:firstLine="420"/>
        <w:spacing w:line="360" w:lineRule="auto"/>
        <w:tabs>
          <w:tab w:val="left" w:pos="360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联系地址：苏州市吴江区松陵镇鲈乡南路1933号</w:t>
      </w:r>
      <w:r/>
    </w:p>
    <w:p>
      <w:pPr>
        <w:ind w:firstLine="420"/>
        <w:spacing w:line="360" w:lineRule="auto"/>
        <w:tabs>
          <w:tab w:val="left" w:pos="3600" w:leader="none"/>
        </w:tabs>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电话：</w:t>
      </w:r>
      <w:bookmarkStart w:id="24" w:name="OLE_LINK3"/>
      <w:r>
        <w:rPr>
          <w:rFonts w:hint="eastAsia" w:asciiTheme="minorEastAsia" w:hAnsiTheme="minorEastAsia" w:eastAsiaTheme="minorEastAsia" w:cstheme="minorEastAsia"/>
          <w:color w:val="auto"/>
          <w:sz w:val="21"/>
          <w:szCs w:val="21"/>
          <w:highlight w:val="none"/>
        </w:rPr>
        <w:t xml:space="preserve">0512-63</w:t>
      </w:r>
      <w:bookmarkEnd w:id="24"/>
      <w:r>
        <w:rPr>
          <w:rFonts w:hint="eastAsia" w:asciiTheme="minorEastAsia" w:hAnsiTheme="minorEastAsia" w:eastAsiaTheme="minorEastAsia" w:cstheme="minorEastAsia"/>
          <w:color w:val="auto"/>
          <w:sz w:val="21"/>
          <w:szCs w:val="21"/>
          <w:highlight w:val="none"/>
          <w:lang w:val="en-US" w:eastAsia="zh-CN"/>
        </w:rPr>
        <w:t xml:space="preserve">008791</w:t>
      </w:r>
      <w:r/>
    </w:p>
    <w:p>
      <w:pPr>
        <w:ind w:firstLine="420"/>
        <w:spacing w:line="360" w:lineRule="auto"/>
        <w:tabs>
          <w:tab w:val="left" w:pos="360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w:t>
      </w:r>
      <w:r>
        <w:rPr>
          <w:rFonts w:hint="eastAsia" w:asciiTheme="minorEastAsia" w:hAnsiTheme="minorEastAsia" w:eastAsiaTheme="minorEastAsia" w:cstheme="minorEastAsia"/>
          <w:color w:val="auto"/>
          <w:sz w:val="21"/>
          <w:szCs w:val="21"/>
          <w:highlight w:val="none"/>
        </w:rPr>
        <w:t xml:space="preserve">采购代理机构信息</w:t>
      </w:r>
      <w:r/>
    </w:p>
    <w:p>
      <w:pPr>
        <w:ind w:firstLine="420"/>
        <w:spacing w:line="360" w:lineRule="auto"/>
        <w:tabs>
          <w:tab w:val="left" w:pos="360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名称：江苏苏维工程管理有限公司</w:t>
      </w:r>
      <w:r/>
    </w:p>
    <w:p>
      <w:pPr>
        <w:ind w:firstLine="420"/>
        <w:spacing w:line="360" w:lineRule="auto"/>
        <w:tabs>
          <w:tab w:val="left" w:pos="360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地址：苏州市姑苏区苏站路锦堂街8号江苏有线大厦2楼</w:t>
      </w:r>
      <w:r/>
    </w:p>
    <w:p>
      <w:pPr>
        <w:ind w:firstLine="420"/>
        <w:spacing w:line="360" w:lineRule="auto"/>
        <w:tabs>
          <w:tab w:val="left" w:pos="360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联系电话：0512-67224601</w:t>
      </w:r>
      <w:r/>
    </w:p>
    <w:p>
      <w:pPr>
        <w:ind w:firstLine="420"/>
        <w:spacing w:line="360" w:lineRule="auto"/>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lang w:eastAsia="zh-CN"/>
        </w:rPr>
        <w:t xml:space="preserve">3.</w:t>
      </w:r>
      <w:r>
        <w:rPr>
          <w:rFonts w:hint="eastAsia" w:asciiTheme="minorEastAsia" w:hAnsiTheme="minorEastAsia" w:eastAsiaTheme="minorEastAsia" w:cstheme="minorEastAsia"/>
          <w:color w:val="auto"/>
          <w:sz w:val="21"/>
          <w:highlight w:val="none"/>
        </w:rPr>
        <w:t xml:space="preserve">项目联系方式</w:t>
      </w:r>
      <w:r/>
    </w:p>
    <w:p>
      <w:pPr>
        <w:ind w:firstLine="420"/>
        <w:spacing w:line="360" w:lineRule="auto"/>
        <w:tabs>
          <w:tab w:val="left" w:pos="360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项目联系人：</w:t>
      </w:r>
      <w:r>
        <w:rPr>
          <w:rFonts w:hint="eastAsia" w:asciiTheme="minorEastAsia" w:hAnsiTheme="minorEastAsia" w:eastAsiaTheme="minorEastAsia" w:cstheme="minorEastAsia"/>
          <w:color w:val="auto"/>
          <w:sz w:val="21"/>
          <w:highlight w:val="none"/>
        </w:rPr>
        <w:t xml:space="preserve">邱季雯</w:t>
      </w:r>
      <w:r>
        <w:rPr>
          <w:rFonts w:hint="eastAsia" w:asciiTheme="minorEastAsia" w:hAnsiTheme="minorEastAsia" w:eastAsiaTheme="minorEastAsia" w:cstheme="minorEastAsia"/>
          <w:color w:val="auto"/>
          <w:sz w:val="21"/>
          <w:highlight w:val="none"/>
          <w:lang w:eastAsia="zh-CN"/>
        </w:rPr>
        <w:t xml:space="preserve">、</w:t>
      </w:r>
      <w:r>
        <w:rPr>
          <w:rFonts w:hint="eastAsia" w:asciiTheme="minorEastAsia" w:hAnsiTheme="minorEastAsia" w:eastAsiaTheme="minorEastAsia" w:cstheme="minorEastAsia"/>
          <w:color w:val="auto"/>
          <w:sz w:val="21"/>
          <w:highlight w:val="none"/>
          <w:lang w:val="en-US" w:eastAsia="zh-CN"/>
        </w:rPr>
        <w:t xml:space="preserve">王倩倩</w:t>
      </w:r>
      <w:r/>
    </w:p>
    <w:p>
      <w:pPr>
        <w:ind w:firstLine="420"/>
        <w:spacing w:line="360" w:lineRule="auto"/>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szCs w:val="21"/>
          <w:highlight w:val="none"/>
        </w:rPr>
        <w:t xml:space="preserve">电话：</w:t>
      </w:r>
      <w:r>
        <w:rPr>
          <w:rFonts w:hint="eastAsia" w:asciiTheme="minorEastAsia" w:hAnsiTheme="minorEastAsia" w:eastAsiaTheme="minorEastAsia" w:cstheme="minorEastAsia"/>
          <w:color w:val="auto"/>
          <w:sz w:val="21"/>
          <w:highlight w:val="none"/>
        </w:rPr>
        <w:t xml:space="preserve">0512-67224601</w:t>
      </w:r>
      <w:r/>
    </w:p>
    <w:p>
      <w:pPr>
        <w:jc w:val="center"/>
        <w:spacing w:line="360" w:lineRule="auto"/>
        <w:rPr>
          <w:rFonts w:hint="eastAsia" w:asciiTheme="minorEastAsia" w:hAnsiTheme="minorEastAsia" w:eastAsiaTheme="minorEastAsia" w:cstheme="minorEastAsia"/>
          <w:b/>
          <w:color w:val="auto"/>
          <w:sz w:val="32"/>
          <w:szCs w:val="32"/>
          <w:highlight w:val="none"/>
        </w:rPr>
        <w:outlineLvl w:val="0"/>
      </w:pPr>
      <w:r/>
      <w:bookmarkStart w:id="25" w:name="_Toc13642113"/>
      <w:r/>
      <w:bookmarkStart w:id="26" w:name="_Toc142194256"/>
      <w:r>
        <w:rPr>
          <w:rFonts w:hint="eastAsia" w:asciiTheme="minorEastAsia" w:hAnsiTheme="minorEastAsia" w:eastAsiaTheme="minorEastAsia" w:cstheme="minorEastAsia"/>
          <w:color w:val="auto"/>
          <w:sz w:val="36"/>
          <w:szCs w:val="36"/>
          <w:highlight w:val="none"/>
        </w:rPr>
        <w:br w:type="page" w:clear="all"/>
      </w:r>
      <w:bookmarkEnd w:id="25"/>
      <w:r/>
      <w:bookmarkEnd w:id="26"/>
      <w:r/>
      <w:bookmarkStart w:id="27" w:name="_Toc35951272"/>
      <w:r/>
      <w:bookmarkStart w:id="28" w:name="_Toc492394285"/>
      <w:r>
        <w:rPr>
          <w:rFonts w:hint="eastAsia" w:asciiTheme="minorEastAsia" w:hAnsiTheme="minorEastAsia" w:eastAsiaTheme="minorEastAsia" w:cstheme="minorEastAsia"/>
          <w:b/>
          <w:color w:val="auto"/>
          <w:sz w:val="32"/>
          <w:szCs w:val="32"/>
          <w:highlight w:val="none"/>
        </w:rPr>
        <w:t xml:space="preserve">第二章 投标人须知</w:t>
      </w:r>
      <w:bookmarkEnd w:id="27"/>
      <w:r/>
      <w:bookmarkEnd w:id="28"/>
      <w:r/>
      <w:r/>
    </w:p>
    <w:p>
      <w:pPr>
        <w:numPr>
          <w:ilvl w:val="0"/>
          <w:numId w:val="1"/>
        </w:numPr>
        <w:spacing w:line="400" w:lineRule="exact"/>
        <w:rPr>
          <w:rFonts w:hint="eastAsia" w:asciiTheme="minorEastAsia" w:hAnsiTheme="minorEastAsia" w:eastAsiaTheme="minorEastAsia" w:cstheme="minorEastAsia"/>
          <w:b/>
          <w:color w:val="auto"/>
          <w:sz w:val="21"/>
          <w:szCs w:val="21"/>
          <w:highlight w:val="none"/>
        </w:rPr>
      </w:pPr>
      <w:r/>
      <w:bookmarkStart w:id="29" w:name="_Toc142194265"/>
      <w:r/>
      <w:bookmarkStart w:id="30" w:name="_Toc13642114"/>
      <w:r>
        <w:rPr>
          <w:rFonts w:hint="eastAsia" w:asciiTheme="minorEastAsia" w:hAnsiTheme="minorEastAsia" w:eastAsiaTheme="minorEastAsia" w:cstheme="minorEastAsia"/>
          <w:b/>
          <w:color w:val="auto"/>
          <w:sz w:val="21"/>
          <w:szCs w:val="21"/>
          <w:highlight w:val="none"/>
        </w:rPr>
        <w:t xml:space="preserve">说明和释义</w:t>
      </w:r>
      <w:r/>
    </w:p>
    <w:p>
      <w:pPr>
        <w:numPr>
          <w:ilvl w:val="0"/>
          <w:numId w:val="2"/>
        </w:numPr>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说明</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1.1本招标文件仅适用于江苏苏维工程管理有限公司组织的招标活动。</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1.2本次招标活动及因本次招标产生的合同受中国法律制约和保护。</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1.3本招标文件的解释权属于江苏苏维工程管理有限公司。</w:t>
      </w:r>
      <w:r/>
    </w:p>
    <w:p>
      <w:pPr>
        <w:numPr>
          <w:ilvl w:val="0"/>
          <w:numId w:val="2"/>
        </w:numPr>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词语释义</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2.1.采购人：指依法进行政府采购的国家机关、事业单位、团体组织。</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2.2.供应商：指向采购人提供货物、工程或服务的法人、其他组织或者自然人。</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2.3.投标人：指参加政府采购货物服务投标活动的供应商。</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2.4.采购代理机构：指依法接受采购人委托，从事货物、工程和服务等政府采购招标代理业务的社会中介机构。</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2.5.招标代理机构：采购人及采购代理机构的统称。</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2.6.评标委员会：是指在招标投标和政府采购活动中，依法由采购人代表和有关技术、经济等方面的专家组建，负责对投标文件进行评审并提出评审意见的临时性权威机构。</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2.7.响应：投标人根据采购人或采购代理机构发售的招标文件，编制投标文件并按规定投标的行为。</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2.8.知识产权：指专利权、商标权、著作权等无形财产专有权的统称。</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2.9.天：日历日。</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2.10.服务地点：合同中明确约定的乙方履行服务的最终地点。</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2.11.不可抗力：不能预见、不能避免并且不能克服的客观情况。</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2.12.实质性响应：满足有关本次采购标的、数量、质量、价款或者报酬、履行期限、履行地点和方式、违约责任和解决争议方法等要求。</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2.13.书面形式：指书面文字、合同书、信件和传真等可以有形地表现所载内容的形式。</w:t>
      </w:r>
      <w:r/>
    </w:p>
    <w:p>
      <w:pPr>
        <w:numPr>
          <w:ilvl w:val="0"/>
          <w:numId w:val="1"/>
        </w:numPr>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投标人</w:t>
      </w:r>
      <w:r/>
    </w:p>
    <w:p>
      <w:pPr>
        <w:numPr>
          <w:ilvl w:val="0"/>
          <w:numId w:val="2"/>
        </w:numPr>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合格投标人的基本条件</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符合《中华人民共和国政府采购法》第二十二条之规定。</w:t>
      </w:r>
      <w:r/>
    </w:p>
    <w:p>
      <w:pPr>
        <w:numPr>
          <w:ilvl w:val="0"/>
          <w:numId w:val="2"/>
        </w:numPr>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合格投标人的特定条件</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详见投标人资格要求。</w:t>
      </w:r>
      <w:r/>
    </w:p>
    <w:p>
      <w:pPr>
        <w:numPr>
          <w:ilvl w:val="0"/>
          <w:numId w:val="2"/>
        </w:numPr>
        <w:spacing w:line="400" w:lineRule="exac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投标人必须从</w:t>
      </w:r>
      <w:r>
        <w:rPr>
          <w:rFonts w:hint="eastAsia" w:asciiTheme="minorEastAsia" w:hAnsiTheme="minorEastAsia" w:eastAsiaTheme="minorEastAsia" w:cstheme="minorEastAsia"/>
          <w:b/>
          <w:color w:val="auto"/>
          <w:sz w:val="21"/>
          <w:szCs w:val="21"/>
          <w:highlight w:val="none"/>
        </w:rPr>
        <w:t xml:space="preserve">“苏采云”系统（网址：http://jszfcg.jsczt.cn/）系统进行报名，否则不能参加本次招标活动。</w:t>
      </w:r>
      <w:r/>
    </w:p>
    <w:p>
      <w:pPr>
        <w:numPr>
          <w:ilvl w:val="0"/>
          <w:numId w:val="2"/>
        </w:numPr>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投标人代表</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指全权代表投标人参加投标活动并签署投标文件的人，如果投标人代表不是法人代表，须持有《法定代表人授权委托书》（详见统一格式）。</w:t>
      </w:r>
      <w:r/>
    </w:p>
    <w:p>
      <w:pPr>
        <w:numPr>
          <w:ilvl w:val="0"/>
          <w:numId w:val="2"/>
        </w:numPr>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联合投标</w:t>
      </w:r>
      <w:r/>
    </w:p>
    <w:p>
      <w:pPr>
        <w:ind w:firstLine="422"/>
        <w:spacing w:line="360" w:lineRule="auto"/>
        <w:rPr>
          <w:rFonts w:hint="eastAsia" w:ascii="宋体" w:hAnsi="宋体" w:eastAsia="宋体" w:cs="宋体"/>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本项目接受联合体投标。</w:t>
      </w:r>
      <w:r>
        <w:rPr>
          <w:rFonts w:hint="eastAsia" w:ascii="宋体" w:hAnsi="宋体" w:eastAsia="宋体" w:cs="宋体"/>
          <w:b/>
          <w:bCs/>
          <w:color w:val="auto"/>
          <w:sz w:val="21"/>
          <w:szCs w:val="21"/>
          <w:highlight w:val="none"/>
        </w:rPr>
        <w:t xml:space="preserve">联合体投标的，联合体各方单位数量不得超过2家，应同时满足下列要求：</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（1）联合体各方应按招标文件提供的格式签订联合体协议书，明确联合体牵头人和各方权利义务；</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（2）联合体各方不得再以自己名义单独或参加其他联合体在同一标段中投标。</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（3）联合体中有同类资质的供应商按照联合体分工承担相同工作的，应当按照资质等级较低的供应商确定资质等级。</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（4）供应商以联合体中标的，联合体各方应当共同与采购人签订采购合同，就采购合同约定的事项对采购人承担连带债务和连带责任。</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注：若申请人为联合体，报名时联合体主办人</w:t>
      </w:r>
      <w:r>
        <w:rPr>
          <w:rFonts w:hint="eastAsia" w:ascii="宋体" w:hAnsi="宋体" w:eastAsia="宋体" w:cs="宋体"/>
          <w:b/>
          <w:bCs/>
          <w:color w:val="auto"/>
          <w:sz w:val="21"/>
          <w:szCs w:val="21"/>
          <w:highlight w:val="none"/>
          <w:lang w:val="en-US" w:eastAsia="zh-CN"/>
        </w:rPr>
        <w:t xml:space="preserve">必须在</w:t>
      </w:r>
      <w:r>
        <w:rPr>
          <w:rFonts w:hint="eastAsia" w:ascii="宋体" w:hAnsi="宋体" w:eastAsia="宋体" w:cs="宋体"/>
          <w:b/>
          <w:bCs/>
          <w:color w:val="auto"/>
          <w:sz w:val="21"/>
          <w:szCs w:val="21"/>
          <w:highlight w:val="none"/>
        </w:rPr>
        <w:t xml:space="preserve">报名确认函</w:t>
      </w:r>
      <w:r>
        <w:rPr>
          <w:rFonts w:hint="eastAsia" w:ascii="宋体" w:hAnsi="宋体" w:eastAsia="宋体" w:cs="宋体"/>
          <w:b/>
          <w:bCs/>
          <w:color w:val="auto"/>
          <w:sz w:val="21"/>
          <w:szCs w:val="21"/>
          <w:highlight w:val="none"/>
          <w:lang w:val="en-US" w:eastAsia="zh-CN"/>
        </w:rPr>
        <w:t xml:space="preserve">的联系人一栏</w:t>
      </w:r>
      <w:r>
        <w:rPr>
          <w:rFonts w:hint="eastAsia" w:ascii="宋体" w:hAnsi="宋体" w:eastAsia="宋体" w:cs="宋体"/>
          <w:b/>
          <w:bCs/>
          <w:color w:val="auto"/>
          <w:sz w:val="21"/>
          <w:szCs w:val="21"/>
          <w:highlight w:val="none"/>
        </w:rPr>
        <w:t xml:space="preserve">里注明联合体其他成员单位全称。</w:t>
      </w:r>
      <w:r/>
    </w:p>
    <w:p>
      <w:pPr>
        <w:numPr>
          <w:ilvl w:val="0"/>
          <w:numId w:val="2"/>
        </w:numPr>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投标费用</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投标人应自行承担所有准备及参加投标的相关费用。不论投标结果如何，采购人和采购代理机构在任何情况下均无义务也无责任承担这些费用。</w:t>
      </w:r>
      <w:r/>
    </w:p>
    <w:p>
      <w:pPr>
        <w:numPr>
          <w:ilvl w:val="0"/>
          <w:numId w:val="1"/>
        </w:numPr>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招标文件说明</w:t>
      </w:r>
      <w:r/>
    </w:p>
    <w:p>
      <w:pPr>
        <w:numPr>
          <w:ilvl w:val="0"/>
          <w:numId w:val="2"/>
        </w:numPr>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招标文件</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9.1.招标文件由招标文件目录所列内容组成，投标人获取招标文件后，应仔细检查招标文件的所有内容，如有残缺等问题应在获取招标文件规定时间内向招标代理机构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9.2.招标文件及其更正文件不是直接从指定媒介获得的，招标代理机构对招标文件及其补遗的真实性、完整性不承担任何责任。</w:t>
      </w:r>
      <w:r/>
    </w:p>
    <w:p>
      <w:pPr>
        <w:numPr>
          <w:ilvl w:val="0"/>
          <w:numId w:val="2"/>
        </w:numPr>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现场勘察</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10.1.招标人将不组织投标人进行集中</w:t>
      </w:r>
      <w:r>
        <w:rPr>
          <w:rFonts w:hint="eastAsia" w:asciiTheme="minorEastAsia" w:hAnsiTheme="minorEastAsia" w:eastAsiaTheme="minorEastAsia" w:cstheme="minorEastAsia"/>
          <w:color w:val="auto"/>
          <w:sz w:val="21"/>
          <w:szCs w:val="21"/>
          <w:highlight w:val="none"/>
          <w:lang w:eastAsia="zh-CN"/>
        </w:rPr>
        <w:t xml:space="preserve">勘查现场</w:t>
      </w:r>
      <w:r>
        <w:rPr>
          <w:rFonts w:hint="eastAsia" w:asciiTheme="minorEastAsia" w:hAnsiTheme="minorEastAsia" w:eastAsiaTheme="minorEastAsia" w:cstheme="minorEastAsia"/>
          <w:color w:val="auto"/>
          <w:sz w:val="21"/>
          <w:szCs w:val="21"/>
          <w:highlight w:val="none"/>
        </w:rPr>
        <w:t xml:space="preserve">，投标人可自行对有关现场和周围环境进行勘察，以获取编制投标文件和签署合同所需的信息。</w:t>
      </w:r>
      <w:r>
        <w:rPr>
          <w:rFonts w:hint="eastAsia" w:asciiTheme="minorEastAsia" w:hAnsiTheme="minorEastAsia" w:eastAsiaTheme="minorEastAsia" w:cstheme="minorEastAsia"/>
          <w:color w:val="auto"/>
          <w:sz w:val="21"/>
          <w:szCs w:val="21"/>
          <w:highlight w:val="none"/>
          <w:lang w:eastAsia="zh-CN"/>
        </w:rPr>
        <w:t xml:space="preserve">勘查现场</w:t>
      </w:r>
      <w:r>
        <w:rPr>
          <w:rFonts w:hint="eastAsia" w:asciiTheme="minorEastAsia" w:hAnsiTheme="minorEastAsia" w:eastAsiaTheme="minorEastAsia" w:cstheme="minorEastAsia"/>
          <w:color w:val="auto"/>
          <w:sz w:val="21"/>
          <w:szCs w:val="21"/>
          <w:highlight w:val="none"/>
        </w:rPr>
        <w:t xml:space="preserve">所发生的费用由投标人自己承担。</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10.2.招标代理机构向投标人提供的有关现场的资料和数据，是招标代理机构现有的并认为能使投标人可利用的资料。招标代理机构对投标人由此而做出的推论、理解和结论概不负责。</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10.3.经招标代理机构允许，投标人可为勘察目的进入招标代理机构的项目现场，但投标人不得因此使招标代理机构承担有关的责任和蒙受损失。投标人应承担</w:t>
      </w:r>
      <w:r>
        <w:rPr>
          <w:rFonts w:hint="eastAsia" w:asciiTheme="minorEastAsia" w:hAnsiTheme="minorEastAsia" w:eastAsiaTheme="minorEastAsia" w:cstheme="minorEastAsia"/>
          <w:color w:val="auto"/>
          <w:sz w:val="21"/>
          <w:szCs w:val="21"/>
          <w:highlight w:val="none"/>
          <w:lang w:eastAsia="zh-CN"/>
        </w:rPr>
        <w:t xml:space="preserve">勘查现场</w:t>
      </w:r>
      <w:r>
        <w:rPr>
          <w:rFonts w:hint="eastAsia" w:asciiTheme="minorEastAsia" w:hAnsiTheme="minorEastAsia" w:eastAsiaTheme="minorEastAsia" w:cstheme="minorEastAsia"/>
          <w:color w:val="auto"/>
          <w:sz w:val="21"/>
          <w:szCs w:val="21"/>
          <w:highlight w:val="none"/>
        </w:rPr>
        <w:t xml:space="preserve">的责任和风险。</w:t>
      </w:r>
      <w:r/>
    </w:p>
    <w:p>
      <w:pPr>
        <w:numPr>
          <w:ilvl w:val="0"/>
          <w:numId w:val="2"/>
        </w:numPr>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招标文件的澄清和修改</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11.1.投标人在获取招标文件后，若有问题需要询问和澄清，应按</w:t>
      </w:r>
      <w:r>
        <w:rPr>
          <w:rFonts w:hint="eastAsia" w:asciiTheme="minorEastAsia" w:hAnsiTheme="minorEastAsia" w:eastAsiaTheme="minorEastAsia" w:cstheme="minorEastAsia"/>
          <w:color w:val="auto"/>
          <w:sz w:val="21"/>
          <w:szCs w:val="21"/>
          <w:highlight w:val="none"/>
          <w:lang w:eastAsia="zh-CN"/>
        </w:rPr>
        <w:t xml:space="preserve">前述</w:t>
      </w:r>
      <w:r>
        <w:rPr>
          <w:rFonts w:hint="eastAsia" w:asciiTheme="minorEastAsia" w:hAnsiTheme="minorEastAsia" w:eastAsiaTheme="minorEastAsia" w:cstheme="minorEastAsia"/>
          <w:color w:val="auto"/>
          <w:sz w:val="21"/>
          <w:szCs w:val="21"/>
          <w:highlight w:val="none"/>
        </w:rPr>
        <w:t xml:space="preserve">规定提出，澄清和提疑须以书面形式向采购代理机构提出，采购代理机构将以书面形式的方式予以解答（包括对询问的解释，但不说明来源），答复将送给所有招标文件的收受人。</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11.2.迟于前附表规定的询问和提交的疑问，采购人和采购代理机构有权拒绝回答，也不承担由此带来的对投标人投标结果的影响。</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11.3.在投标截止时间15日前，招标代理机构无论出于自己的考虑，还是出于对投标人提问的澄清，均可对已发出的招标文件进行必要澄清或者修改。</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11.4.为使投标人有足够的时间按招标文件的修改要求考虑修正投标文件，或出于其他原因，招标代理机构有权推迟投标截止日期和开标日期</w:t>
      </w:r>
      <w:r>
        <w:rPr>
          <w:rFonts w:hint="eastAsia" w:asciiTheme="minorEastAsia" w:hAnsiTheme="minorEastAsia" w:eastAsiaTheme="minorEastAsia" w:cstheme="minorEastAsia"/>
          <w:color w:val="auto"/>
          <w:sz w:val="21"/>
          <w:szCs w:val="21"/>
          <w:highlight w:val="none"/>
          <w:lang w:eastAsia="zh-CN"/>
        </w:rPr>
        <w:t xml:space="preserve">，并</w:t>
      </w:r>
      <w:r>
        <w:rPr>
          <w:rFonts w:hint="eastAsia" w:asciiTheme="minorEastAsia" w:hAnsiTheme="minorEastAsia" w:eastAsiaTheme="minorEastAsia" w:cstheme="minorEastAsia"/>
          <w:color w:val="auto"/>
          <w:sz w:val="21"/>
          <w:szCs w:val="21"/>
          <w:highlight w:val="none"/>
        </w:rPr>
        <w:t xml:space="preserve">将此变更通知所有招标文件的收受人。</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11.5.招标文件的更正（含澄清、修改等）内容与原招标文件在同一内容上表述不一致时，以发出日期最接近开标时间的公告为准。</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11.6.招标文件的更正（含澄清、修改等）内容将在财政部门指定的政府采购信息发布媒体上发布，作为招标文件的组成部分，对投标人起约束作用。</w:t>
      </w:r>
      <w:r/>
    </w:p>
    <w:p>
      <w:pPr>
        <w:numPr>
          <w:ilvl w:val="0"/>
          <w:numId w:val="1"/>
        </w:numPr>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投标文件说明</w:t>
      </w:r>
      <w:r/>
    </w:p>
    <w:p>
      <w:pPr>
        <w:numPr>
          <w:ilvl w:val="0"/>
          <w:numId w:val="2"/>
        </w:numPr>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投标文件计量单位和使用文字</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12.1.投标文件中所使用的计量单位，除招标文件中有特殊要求外，均应使用中华人民共和国法定计量单位。</w:t>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代理机构概不负责。</w:t>
      </w:r>
      <w:r/>
    </w:p>
    <w:p>
      <w:pPr>
        <w:numPr>
          <w:ilvl w:val="0"/>
          <w:numId w:val="2"/>
        </w:numPr>
        <w:spacing w:line="400" w:lineRule="exact"/>
        <w:rPr>
          <w:rFonts w:hint="eastAsia" w:asciiTheme="minorEastAsia" w:hAnsiTheme="minorEastAsia" w:eastAsiaTheme="minorEastAsia" w:cstheme="minorEastAsia"/>
          <w:b/>
          <w:color w:val="auto"/>
          <w:sz w:val="21"/>
          <w:szCs w:val="21"/>
          <w:highlight w:val="none"/>
        </w:rPr>
      </w:pPr>
      <w:r/>
      <w:bookmarkStart w:id="31" w:name="_Toc217446047"/>
      <w:r>
        <w:rPr>
          <w:rFonts w:hint="eastAsia" w:asciiTheme="minorEastAsia" w:hAnsiTheme="minorEastAsia" w:eastAsiaTheme="minorEastAsia" w:cstheme="minorEastAsia"/>
          <w:b/>
          <w:color w:val="auto"/>
          <w:sz w:val="21"/>
          <w:szCs w:val="21"/>
          <w:highlight w:val="none"/>
        </w:rPr>
        <w:t xml:space="preserve">知识产权</w:t>
      </w:r>
      <w:bookmarkEnd w:id="31"/>
      <w:r/>
      <w:r/>
    </w:p>
    <w:p>
      <w:pPr>
        <w:ind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投标人应保证在本项目使用的任何产品（包括部分使用）时，不会产生因第三方提出侵犯其专利权、商标权或</w:t>
      </w:r>
      <w:r>
        <w:rPr>
          <w:rFonts w:hint="eastAsia" w:asciiTheme="minorEastAsia" w:hAnsiTheme="minorEastAsia" w:eastAsiaTheme="minorEastAsia" w:cstheme="minorEastAsia"/>
          <w:color w:val="auto"/>
          <w:sz w:val="21"/>
          <w:szCs w:val="21"/>
          <w:highlight w:val="none"/>
          <w:lang w:eastAsia="zh-CN"/>
        </w:rPr>
        <w:t xml:space="preserve">其他</w:t>
      </w:r>
      <w:r>
        <w:rPr>
          <w:rFonts w:hint="eastAsia" w:asciiTheme="minorEastAsia" w:hAnsiTheme="minorEastAsia" w:eastAsiaTheme="minorEastAsia" w:cstheme="minorEastAsia"/>
          <w:color w:val="auto"/>
          <w:sz w:val="21"/>
          <w:szCs w:val="21"/>
          <w:highlight w:val="none"/>
        </w:rPr>
        <w:t xml:space="preserve">知识产权而引起的法律和经济纠纷，如因专利权、商标权或</w:t>
      </w:r>
      <w:r>
        <w:rPr>
          <w:rFonts w:hint="eastAsia" w:asciiTheme="minorEastAsia" w:hAnsiTheme="minorEastAsia" w:eastAsiaTheme="minorEastAsia" w:cstheme="minorEastAsia"/>
          <w:color w:val="auto"/>
          <w:sz w:val="21"/>
          <w:szCs w:val="21"/>
          <w:highlight w:val="none"/>
          <w:lang w:eastAsia="zh-CN"/>
        </w:rPr>
        <w:t xml:space="preserve">其他</w:t>
      </w:r>
      <w:r>
        <w:rPr>
          <w:rFonts w:hint="eastAsia" w:asciiTheme="minorEastAsia" w:hAnsiTheme="minorEastAsia" w:eastAsiaTheme="minorEastAsia" w:cstheme="minorEastAsia"/>
          <w:color w:val="auto"/>
          <w:sz w:val="21"/>
          <w:szCs w:val="21"/>
          <w:highlight w:val="none"/>
        </w:rPr>
        <w:t xml:space="preserve">知识产权而引起法律和经济纠纷，由投标人承担所有相关责任。</w:t>
      </w:r>
      <w:r/>
    </w:p>
    <w:p>
      <w:pPr>
        <w:numPr>
          <w:ilvl w:val="0"/>
          <w:numId w:val="2"/>
        </w:numPr>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投标文件的组成和顺序</w:t>
      </w:r>
      <w:r/>
    </w:p>
    <w:p>
      <w:pPr>
        <w:numPr>
          <w:ilvl w:val="1"/>
          <w:numId w:val="2"/>
        </w:numPr>
        <w:ind w:left="0"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投标函</w:t>
      </w:r>
      <w:r>
        <w:rPr>
          <w:rFonts w:hint="eastAsia" w:asciiTheme="minorEastAsia" w:hAnsiTheme="minorEastAsia" w:eastAsiaTheme="minorEastAsia" w:cstheme="minorEastAsia"/>
          <w:color w:val="auto"/>
          <w:sz w:val="21"/>
          <w:szCs w:val="21"/>
          <w:highlight w:val="none"/>
          <w:lang w:eastAsia="zh-CN"/>
        </w:rPr>
        <w:t xml:space="preserve">；</w:t>
      </w:r>
      <w:r/>
    </w:p>
    <w:p>
      <w:pPr>
        <w:numPr>
          <w:ilvl w:val="1"/>
          <w:numId w:val="2"/>
        </w:numPr>
        <w:ind w:left="0"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开标一览表</w:t>
      </w:r>
      <w:r>
        <w:rPr>
          <w:rFonts w:hint="eastAsia" w:asciiTheme="minorEastAsia" w:hAnsiTheme="minorEastAsia" w:eastAsiaTheme="minorEastAsia" w:cstheme="minorEastAsia"/>
          <w:color w:val="auto"/>
          <w:sz w:val="21"/>
          <w:szCs w:val="21"/>
          <w:highlight w:val="none"/>
          <w:lang w:eastAsia="zh-CN"/>
        </w:rPr>
        <w:t xml:space="preserve">；</w:t>
      </w:r>
      <w:r/>
    </w:p>
    <w:p>
      <w:pPr>
        <w:numPr>
          <w:ilvl w:val="1"/>
          <w:numId w:val="2"/>
        </w:numPr>
        <w:ind w:left="0" w:firstLine="420"/>
        <w:spacing w:line="400" w:lineRule="exact"/>
        <w:shd w:val="clear" w:color="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投标报价明细表</w:t>
      </w:r>
      <w:r>
        <w:rPr>
          <w:rFonts w:hint="eastAsia" w:asciiTheme="minorEastAsia" w:hAnsiTheme="minorEastAsia" w:eastAsiaTheme="minorEastAsia" w:cstheme="minorEastAsia"/>
          <w:bCs w:val="0"/>
          <w:color w:val="auto"/>
          <w:sz w:val="21"/>
          <w:szCs w:val="21"/>
          <w:highlight w:val="none"/>
        </w:rPr>
        <w:t xml:space="preserve">（格式见第三章）</w:t>
      </w:r>
      <w:r>
        <w:rPr>
          <w:rFonts w:hint="eastAsia" w:asciiTheme="minorEastAsia" w:hAnsiTheme="minorEastAsia" w:eastAsiaTheme="minorEastAsia" w:cstheme="minorEastAsia"/>
          <w:bCs w:val="0"/>
          <w:color w:val="auto"/>
          <w:sz w:val="21"/>
          <w:szCs w:val="21"/>
          <w:highlight w:val="none"/>
          <w:lang w:eastAsia="zh-CN"/>
        </w:rPr>
        <w:t xml:space="preserve">。</w:t>
      </w:r>
      <w:r/>
    </w:p>
    <w:p>
      <w:pPr>
        <w:numPr>
          <w:ilvl w:val="1"/>
          <w:numId w:val="2"/>
        </w:numPr>
        <w:ind w:left="0" w:firstLine="422"/>
        <w:spacing w:line="400" w:lineRule="exact"/>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资格审查文件</w:t>
      </w:r>
      <w:r>
        <w:rPr>
          <w:rFonts w:hint="eastAsia" w:asciiTheme="minorEastAsia" w:hAnsiTheme="minorEastAsia" w:eastAsiaTheme="minorEastAsia" w:cstheme="minorEastAsia"/>
          <w:b/>
          <w:bCs/>
          <w:color w:val="auto"/>
          <w:sz w:val="21"/>
          <w:szCs w:val="21"/>
          <w:highlight w:val="none"/>
          <w:lang w:eastAsia="zh-CN"/>
        </w:rPr>
        <w:t xml:space="preserve">：</w:t>
      </w:r>
      <w:r/>
    </w:p>
    <w:p>
      <w:pPr>
        <w:numPr>
          <w:ilvl w:val="-1"/>
          <w:numId w:val="0"/>
        </w:numPr>
        <w:ind w:left="0"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.4.1关于资格文件的声明函（格式见第三章）；</w:t>
      </w:r>
      <w:r/>
    </w:p>
    <w:p>
      <w:pPr>
        <w:numPr>
          <w:ilvl w:val="-1"/>
          <w:numId w:val="0"/>
        </w:numPr>
        <w:ind w:left="0"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.4.2投标人基本情况表（格式见第三章）；</w:t>
      </w:r>
      <w:r/>
    </w:p>
    <w:p>
      <w:pPr>
        <w:numPr>
          <w:ilvl w:val="-1"/>
          <w:numId w:val="0"/>
        </w:numPr>
        <w:ind w:left="0"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.4.3投标人法定代表人身份证复印件；</w:t>
      </w:r>
      <w:r/>
    </w:p>
    <w:p>
      <w:pPr>
        <w:numPr>
          <w:ilvl w:val="-1"/>
          <w:numId w:val="0"/>
        </w:numPr>
        <w:ind w:left="0"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.4.4法定代表人授权委托书（如有授权，格式见第三章）；</w:t>
      </w:r>
      <w:r/>
    </w:p>
    <w:p>
      <w:pPr>
        <w:numPr>
          <w:ilvl w:val="-1"/>
          <w:numId w:val="0"/>
        </w:numPr>
        <w:ind w:left="0"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.4.5投标人授权代理人身份证复印件（如有授权）；</w:t>
      </w:r>
      <w:r/>
    </w:p>
    <w:p>
      <w:pPr>
        <w:numPr>
          <w:ilvl w:val="-1"/>
          <w:numId w:val="0"/>
        </w:numPr>
        <w:ind w:left="0"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.4.6合格投标人资格证明材料：</w:t>
      </w:r>
      <w:r/>
    </w:p>
    <w:p>
      <w:pPr>
        <w:numPr>
          <w:ilvl w:val="-1"/>
          <w:numId w:val="0"/>
        </w:numPr>
        <w:ind w:left="0" w:firstLine="420"/>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（1）具有独立承担民事责任的能力证明。包括法人或者其他组织的营业执照等证明文件，自然人的身份证明；</w:t>
      </w:r>
      <w:r/>
    </w:p>
    <w:p>
      <w:pPr>
        <w:numPr>
          <w:ilvl w:val="-1"/>
          <w:numId w:val="0"/>
        </w:numPr>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（2）具有良好的商业信誉和健全的财务会计制度证明</w:t>
      </w:r>
      <w:r>
        <w:rPr>
          <w:rFonts w:hint="eastAsia" w:asciiTheme="minorEastAsia" w:hAnsiTheme="minorEastAsia" w:eastAsiaTheme="minorEastAsia" w:cstheme="minorEastAsia"/>
          <w:b w:val="0"/>
          <w:bCs w:val="0"/>
          <w:color w:val="auto"/>
          <w:sz w:val="21"/>
          <w:szCs w:val="21"/>
          <w:highlight w:val="none"/>
        </w:rPr>
        <w:t xml:space="preserve">（提供最近一期</w:t>
      </w:r>
      <w:r>
        <w:rPr>
          <w:rFonts w:hint="eastAsia" w:asciiTheme="minorEastAsia" w:hAnsiTheme="minorEastAsia" w:eastAsiaTheme="minorEastAsia" w:cstheme="minorEastAsia"/>
          <w:b w:val="0"/>
          <w:bCs w:val="0"/>
          <w:color w:val="auto"/>
          <w:sz w:val="21"/>
          <w:szCs w:val="21"/>
          <w:highlight w:val="none"/>
          <w:lang w:val="en-US" w:eastAsia="zh-CN"/>
        </w:rPr>
        <w:t xml:space="preserve">的</w:t>
      </w:r>
      <w:r>
        <w:rPr>
          <w:rFonts w:hint="eastAsia" w:asciiTheme="minorEastAsia" w:hAnsiTheme="minorEastAsia" w:eastAsiaTheme="minorEastAsia" w:cstheme="minorEastAsia"/>
          <w:b w:val="0"/>
          <w:bCs w:val="0"/>
          <w:color w:val="auto"/>
          <w:sz w:val="21"/>
          <w:szCs w:val="21"/>
          <w:highlight w:val="none"/>
        </w:rPr>
        <w:t xml:space="preserve">财务报告，其他组织、自然人及成立未满一年的法人应提供银行出具的资信证明）</w:t>
      </w:r>
      <w:r>
        <w:rPr>
          <w:rFonts w:hint="eastAsia" w:asciiTheme="minorEastAsia" w:hAnsiTheme="minorEastAsia" w:eastAsiaTheme="minorEastAsia" w:cstheme="minorEastAsia"/>
          <w:b w:val="0"/>
          <w:color w:val="auto"/>
          <w:sz w:val="21"/>
          <w:szCs w:val="21"/>
          <w:highlight w:val="none"/>
        </w:rPr>
        <w:t xml:space="preserve">；</w:t>
      </w:r>
      <w:r/>
    </w:p>
    <w:p>
      <w:pPr>
        <w:numPr>
          <w:ilvl w:val="-1"/>
          <w:numId w:val="0"/>
        </w:numPr>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（3）具备履行合同所必需的设备和专业技术能力的证明材料或承诺；</w:t>
      </w:r>
      <w:r/>
    </w:p>
    <w:p>
      <w:pPr>
        <w:numPr>
          <w:ilvl w:val="-1"/>
          <w:numId w:val="0"/>
        </w:numPr>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（4）依法缴纳税收和社会保障资金的相关资料</w:t>
      </w:r>
      <w:r>
        <w:rPr>
          <w:rFonts w:hint="eastAsia" w:asciiTheme="minorEastAsia" w:hAnsiTheme="minorEastAsia" w:eastAsiaTheme="minorEastAsia" w:cstheme="minorEastAsia"/>
          <w:b w:val="0"/>
          <w:bCs w:val="0"/>
          <w:color w:val="auto"/>
          <w:sz w:val="21"/>
          <w:szCs w:val="21"/>
          <w:highlight w:val="none"/>
        </w:rPr>
        <w:t xml:space="preserve">（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Theme="minorEastAsia" w:hAnsiTheme="minorEastAsia" w:eastAsiaTheme="minorEastAsia" w:cstheme="minorEastAsia"/>
          <w:bCs w:val="0"/>
          <w:color w:val="auto"/>
          <w:sz w:val="21"/>
          <w:szCs w:val="21"/>
          <w:highlight w:val="none"/>
        </w:rPr>
        <w:t xml:space="preserve">；</w:t>
      </w:r>
      <w:r/>
    </w:p>
    <w:p>
      <w:pPr>
        <w:numPr>
          <w:ilvl w:val="-1"/>
          <w:numId w:val="0"/>
        </w:numPr>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（5）参加政府采购活动前三年内在经营活动中没有重大违法记录的书面声明函。</w:t>
      </w:r>
      <w:r/>
    </w:p>
    <w:p>
      <w:pPr>
        <w:numPr>
          <w:ilvl w:val="-1"/>
          <w:numId w:val="0"/>
        </w:numPr>
        <w:ind w:left="0" w:firstLine="420"/>
        <w:spacing w:line="360" w:lineRule="auto"/>
        <w:shd w:val="clear" w:color="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.4.7</w:t>
      </w:r>
      <w:r>
        <w:rPr>
          <w:rFonts w:hint="eastAsia" w:asciiTheme="minorEastAsia" w:hAnsiTheme="minorEastAsia" w:eastAsiaTheme="minorEastAsia" w:cstheme="minorEastAsia"/>
          <w:color w:val="auto"/>
          <w:sz w:val="21"/>
          <w:szCs w:val="21"/>
          <w:highlight w:val="none"/>
        </w:rPr>
        <w:t xml:space="preserve">供应商须具有测绘地理信息主管部门颁发的甲级测绘资质证书</w:t>
      </w:r>
      <w:r>
        <w:rPr>
          <w:rFonts w:hint="eastAsia" w:asciiTheme="minorEastAsia" w:hAnsiTheme="minorEastAsia" w:eastAsiaTheme="minorEastAsia" w:cstheme="minorEastAsia"/>
          <w:color w:val="auto"/>
          <w:sz w:val="21"/>
          <w:szCs w:val="21"/>
          <w:highlight w:val="none"/>
        </w:rPr>
        <w:t xml:space="preserve">，专业范围必须同时包含地理信息系统工程及工程测量</w:t>
      </w:r>
      <w:r>
        <w:rPr>
          <w:rFonts w:hint="eastAsia" w:asciiTheme="minorEastAsia" w:hAnsiTheme="minorEastAsia" w:eastAsiaTheme="minorEastAsia" w:cstheme="minorEastAsia"/>
          <w:color w:val="auto"/>
          <w:sz w:val="21"/>
          <w:szCs w:val="21"/>
          <w:highlight w:val="none"/>
          <w:lang w:val="en-US" w:eastAsia="zh-CN"/>
        </w:rPr>
        <w:t xml:space="preserve">；</w:t>
      </w:r>
      <w:r/>
    </w:p>
    <w:p>
      <w:pPr>
        <w:numPr>
          <w:ilvl w:val="-1"/>
          <w:numId w:val="0"/>
        </w:numPr>
        <w:ind w:left="0"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14.4.8</w:t>
      </w:r>
      <w:r>
        <w:rPr>
          <w:rFonts w:hint="eastAsia" w:asciiTheme="minorEastAsia" w:hAnsiTheme="minorEastAsia" w:eastAsiaTheme="minorEastAsia" w:cstheme="minorEastAsia"/>
          <w:color w:val="auto"/>
          <w:sz w:val="21"/>
          <w:szCs w:val="21"/>
          <w:highlight w:val="none"/>
        </w:rPr>
        <w:t xml:space="preserve">投标人与其他单位存在控股、管理关系情况表；（格式见第三章）；</w:t>
      </w:r>
      <w:r/>
    </w:p>
    <w:p>
      <w:pPr>
        <w:numPr>
          <w:ilvl w:val="-1"/>
          <w:numId w:val="0"/>
        </w:numPr>
        <w:ind w:left="0" w:firstLine="420"/>
        <w:spacing w:line="360" w:lineRule="auto"/>
        <w:shd w:val="clear" w:color="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14.4.9联合体协议（如为联合体投标）。</w:t>
      </w:r>
      <w:r/>
    </w:p>
    <w:p>
      <w:pPr>
        <w:numPr>
          <w:ilvl w:val="1"/>
          <w:numId w:val="2"/>
        </w:numPr>
        <w:ind w:left="0" w:firstLine="42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符合性审查文件</w:t>
      </w:r>
      <w:r/>
    </w:p>
    <w:p>
      <w:pPr>
        <w:numPr>
          <w:ilvl w:val="-1"/>
          <w:numId w:val="0"/>
        </w:numPr>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.5.1投标函（格式见第三章）；</w:t>
      </w:r>
      <w:r/>
    </w:p>
    <w:p>
      <w:pPr>
        <w:numPr>
          <w:ilvl w:val="-1"/>
          <w:numId w:val="0"/>
        </w:numPr>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.5.2服务技术要求偏离表</w:t>
      </w:r>
      <w:r>
        <w:rPr>
          <w:rFonts w:hint="eastAsia" w:asciiTheme="minorEastAsia" w:hAnsiTheme="minorEastAsia" w:eastAsiaTheme="minorEastAsia" w:cstheme="minorEastAsia"/>
          <w:color w:val="auto"/>
          <w:sz w:val="21"/>
          <w:szCs w:val="21"/>
          <w:highlight w:val="none"/>
          <w:lang w:eastAsia="zh-CN"/>
        </w:rPr>
        <w:t xml:space="preserve">、商务条款偏离表（</w:t>
      </w:r>
      <w:r>
        <w:rPr>
          <w:rFonts w:hint="eastAsia" w:asciiTheme="minorEastAsia" w:hAnsiTheme="minorEastAsia" w:eastAsiaTheme="minorEastAsia" w:cstheme="minorEastAsia"/>
          <w:color w:val="auto"/>
          <w:sz w:val="21"/>
          <w:szCs w:val="21"/>
          <w:highlight w:val="none"/>
        </w:rPr>
        <w:t xml:space="preserve">格式见第三章）；</w:t>
      </w:r>
      <w:r/>
    </w:p>
    <w:p>
      <w:pPr>
        <w:numPr>
          <w:ilvl w:val="-1"/>
          <w:numId w:val="0"/>
        </w:numPr>
        <w:ind w:left="0"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.5.</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其他有关符合性证明的文件</w:t>
      </w:r>
      <w:r>
        <w:rPr>
          <w:rFonts w:hint="eastAsia" w:asciiTheme="minorEastAsia" w:hAnsiTheme="minorEastAsia" w:eastAsiaTheme="minorEastAsia" w:cstheme="minorEastAsia"/>
          <w:color w:val="auto"/>
          <w:sz w:val="21"/>
          <w:szCs w:val="21"/>
          <w:highlight w:val="none"/>
          <w:lang w:eastAsia="zh-CN"/>
        </w:rPr>
        <w:t xml:space="preserve">。</w:t>
      </w:r>
      <w:r/>
    </w:p>
    <w:p>
      <w:pPr>
        <w:ind w:firstLine="408"/>
        <w:spacing w:line="360" w:lineRule="auto"/>
        <w:shd w:val="clear" w:color="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1</w:t>
      </w:r>
      <w:r>
        <w:rPr>
          <w:rFonts w:hint="eastAsia" w:ascii="宋体" w:hAnsi="宋体" w:eastAsia="宋体"/>
          <w:b/>
          <w:color w:val="auto"/>
          <w:sz w:val="21"/>
          <w:szCs w:val="21"/>
          <w:highlight w:val="none"/>
          <w:lang w:val="en-US" w:eastAsia="zh-CN"/>
        </w:rPr>
        <w:t xml:space="preserve">4</w:t>
      </w:r>
      <w:r>
        <w:rPr>
          <w:rFonts w:ascii="宋体" w:hAnsi="宋体" w:eastAsia="宋体"/>
          <w:b/>
          <w:color w:val="auto"/>
          <w:sz w:val="21"/>
          <w:szCs w:val="21"/>
          <w:highlight w:val="none"/>
        </w:rPr>
        <w:t xml:space="preserve">.6</w:t>
      </w:r>
      <w:r>
        <w:rPr>
          <w:rFonts w:hint="eastAsia" w:ascii="宋体" w:hAnsi="宋体" w:eastAsia="宋体"/>
          <w:b/>
          <w:color w:val="auto"/>
          <w:sz w:val="21"/>
          <w:szCs w:val="21"/>
          <w:highlight w:val="none"/>
        </w:rPr>
        <w:t xml:space="preserve">综合评审文件</w:t>
      </w:r>
      <w:r/>
    </w:p>
    <w:p>
      <w:pPr>
        <w:ind w:firstLine="408"/>
        <w:spacing w:line="360" w:lineRule="auto"/>
        <w:shd w:val="clear" w:color="auto"/>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1</w:t>
      </w:r>
      <w:r>
        <w:rPr>
          <w:rFonts w:hint="eastAsia" w:ascii="宋体" w:hAnsi="宋体" w:eastAsia="宋体"/>
          <w:color w:val="auto"/>
          <w:sz w:val="21"/>
          <w:szCs w:val="21"/>
          <w:highlight w:val="none"/>
          <w:lang w:val="en-US" w:eastAsia="zh-CN"/>
        </w:rPr>
        <w:t xml:space="preserve">4</w:t>
      </w:r>
      <w:r>
        <w:rPr>
          <w:rFonts w:ascii="宋体" w:hAnsi="宋体" w:eastAsia="宋体"/>
          <w:color w:val="auto"/>
          <w:sz w:val="21"/>
          <w:szCs w:val="21"/>
          <w:highlight w:val="none"/>
          <w:lang w:val="zh-CN"/>
        </w:rPr>
        <w:t xml:space="preserve">.6</w:t>
      </w:r>
      <w:r>
        <w:rPr>
          <w:rFonts w:hint="eastAsia" w:ascii="宋体" w:hAnsi="宋体" w:eastAsia="宋体"/>
          <w:color w:val="auto"/>
          <w:sz w:val="21"/>
          <w:szCs w:val="21"/>
          <w:highlight w:val="none"/>
          <w:lang w:val="zh-CN"/>
        </w:rPr>
        <w:t xml:space="preserve">.1</w:t>
      </w:r>
      <w:r>
        <w:rPr>
          <w:rFonts w:hint="eastAsia" w:ascii="宋体" w:hAnsi="宋体" w:eastAsia="宋体"/>
          <w:color w:val="auto"/>
          <w:sz w:val="21"/>
          <w:szCs w:val="21"/>
          <w:highlight w:val="none"/>
        </w:rPr>
        <w:t xml:space="preserve">项目技术方案</w:t>
      </w:r>
      <w:r>
        <w:rPr>
          <w:rFonts w:hint="eastAsia" w:ascii="宋体" w:hAnsi="宋体" w:eastAsia="宋体"/>
          <w:color w:val="auto"/>
          <w:sz w:val="21"/>
          <w:szCs w:val="21"/>
          <w:highlight w:val="none"/>
          <w:lang w:val="zh-CN"/>
        </w:rPr>
        <w:t xml:space="preserve">；</w:t>
      </w:r>
      <w:r/>
    </w:p>
    <w:p>
      <w:pPr>
        <w:ind w:firstLine="408"/>
        <w:spacing w:line="360" w:lineRule="auto"/>
        <w:shd w:val="clear" w:color="auto"/>
        <w:rPr>
          <w:rFonts w:ascii="宋体" w:hAnsi="宋体" w:eastAsia="宋体"/>
          <w:color w:val="auto"/>
          <w:sz w:val="21"/>
          <w:szCs w:val="21"/>
          <w:highlight w:val="none"/>
          <w:lang w:val="zh-CN"/>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4</w:t>
      </w:r>
      <w:r>
        <w:rPr>
          <w:rFonts w:ascii="宋体" w:hAnsi="宋体" w:eastAsia="宋体"/>
          <w:color w:val="auto"/>
          <w:sz w:val="21"/>
          <w:szCs w:val="21"/>
          <w:highlight w:val="none"/>
        </w:rPr>
        <w:t xml:space="preserve">.6.2</w:t>
      </w:r>
      <w:r>
        <w:rPr>
          <w:rFonts w:hint="eastAsia" w:ascii="宋体" w:hAnsi="宋体" w:eastAsia="宋体"/>
          <w:color w:val="auto"/>
          <w:sz w:val="21"/>
          <w:szCs w:val="21"/>
          <w:highlight w:val="none"/>
        </w:rPr>
        <w:t xml:space="preserve">项目组织管理措施；</w:t>
      </w:r>
      <w:r/>
    </w:p>
    <w:p>
      <w:pPr>
        <w:ind w:firstLine="408"/>
        <w:spacing w:line="360" w:lineRule="auto"/>
        <w:shd w:val="clear" w:color="auto"/>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1</w:t>
      </w:r>
      <w:r>
        <w:rPr>
          <w:rFonts w:hint="eastAsia" w:ascii="宋体" w:hAnsi="宋体" w:eastAsia="宋体"/>
          <w:color w:val="auto"/>
          <w:sz w:val="21"/>
          <w:szCs w:val="21"/>
          <w:highlight w:val="none"/>
          <w:lang w:val="en-US" w:eastAsia="zh-CN"/>
        </w:rPr>
        <w:t xml:space="preserve">4</w:t>
      </w:r>
      <w:r>
        <w:rPr>
          <w:rFonts w:ascii="宋体" w:hAnsi="宋体" w:eastAsia="宋体"/>
          <w:color w:val="auto"/>
          <w:sz w:val="21"/>
          <w:szCs w:val="21"/>
          <w:highlight w:val="none"/>
          <w:lang w:val="zh-CN"/>
        </w:rPr>
        <w:t xml:space="preserve">.6</w:t>
      </w:r>
      <w:r>
        <w:rPr>
          <w:rFonts w:hint="eastAsia" w:ascii="宋体" w:hAnsi="宋体" w:eastAsia="宋体"/>
          <w:color w:val="auto"/>
          <w:sz w:val="21"/>
          <w:szCs w:val="21"/>
          <w:highlight w:val="none"/>
          <w:lang w:val="zh-CN"/>
        </w:rPr>
        <w:t xml:space="preserve">.</w:t>
      </w:r>
      <w:r>
        <w:rPr>
          <w:rFonts w:ascii="宋体" w:hAnsi="宋体" w:eastAsia="宋体"/>
          <w:color w:val="auto"/>
          <w:sz w:val="21"/>
          <w:szCs w:val="21"/>
          <w:highlight w:val="none"/>
          <w:lang w:val="zh-CN"/>
        </w:rPr>
        <w:t xml:space="preserve">3</w:t>
      </w:r>
      <w:r>
        <w:rPr>
          <w:rFonts w:hint="eastAsia" w:ascii="宋体" w:hAnsi="宋体" w:eastAsia="宋体"/>
          <w:color w:val="auto"/>
          <w:sz w:val="21"/>
          <w:szCs w:val="21"/>
          <w:highlight w:val="none"/>
          <w:lang w:val="zh-CN"/>
        </w:rPr>
        <w:t xml:space="preserve">拟投入人员及设备配置；</w:t>
      </w:r>
      <w:r/>
    </w:p>
    <w:p>
      <w:pPr>
        <w:ind w:firstLine="408"/>
        <w:spacing w:line="360" w:lineRule="auto"/>
        <w:shd w:val="clear" w:color="auto"/>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1</w:t>
      </w:r>
      <w:r>
        <w:rPr>
          <w:rFonts w:hint="eastAsia" w:ascii="宋体" w:hAnsi="宋体" w:eastAsia="宋体"/>
          <w:color w:val="auto"/>
          <w:sz w:val="21"/>
          <w:szCs w:val="21"/>
          <w:highlight w:val="none"/>
          <w:lang w:val="en-US" w:eastAsia="zh-CN"/>
        </w:rPr>
        <w:t xml:space="preserve">4</w:t>
      </w:r>
      <w:r>
        <w:rPr>
          <w:rFonts w:ascii="宋体" w:hAnsi="宋体" w:eastAsia="宋体"/>
          <w:color w:val="auto"/>
          <w:sz w:val="21"/>
          <w:szCs w:val="21"/>
          <w:highlight w:val="none"/>
          <w:lang w:val="zh-CN"/>
        </w:rPr>
        <w:t xml:space="preserve">.6</w:t>
      </w:r>
      <w:r>
        <w:rPr>
          <w:rFonts w:hint="eastAsia" w:ascii="宋体" w:hAnsi="宋体" w:eastAsia="宋体"/>
          <w:color w:val="auto"/>
          <w:sz w:val="21"/>
          <w:szCs w:val="21"/>
          <w:highlight w:val="none"/>
          <w:lang w:val="zh-CN"/>
        </w:rPr>
        <w:t xml:space="preserve">.</w:t>
      </w:r>
      <w:r>
        <w:rPr>
          <w:rFonts w:ascii="宋体" w:hAnsi="宋体" w:eastAsia="宋体"/>
          <w:color w:val="auto"/>
          <w:sz w:val="21"/>
          <w:szCs w:val="21"/>
          <w:highlight w:val="none"/>
          <w:lang w:val="zh-CN"/>
        </w:rPr>
        <w:t xml:space="preserve">4</w:t>
      </w:r>
      <w:r>
        <w:rPr>
          <w:rFonts w:hint="eastAsia" w:ascii="宋体" w:hAnsi="宋体" w:eastAsia="宋体"/>
          <w:color w:val="auto"/>
          <w:sz w:val="21"/>
          <w:szCs w:val="21"/>
          <w:highlight w:val="none"/>
          <w:lang w:val="zh-CN"/>
        </w:rPr>
        <w:t xml:space="preserve">履约能力；</w:t>
      </w:r>
      <w:r/>
    </w:p>
    <w:p>
      <w:pPr>
        <w:ind w:firstLine="408"/>
        <w:spacing w:line="360" w:lineRule="auto"/>
        <w:shd w:val="clear" w:color="auto"/>
        <w:rPr>
          <w:rFonts w:hint="eastAsia" w:ascii="宋体" w:hAnsi="宋体" w:eastAsia="宋体"/>
          <w:b w:val="0"/>
          <w:bCs w:val="0"/>
          <w:color w:val="auto"/>
          <w:sz w:val="21"/>
          <w:szCs w:val="21"/>
          <w:highlight w:val="none"/>
          <w:lang w:eastAsia="zh-CN"/>
        </w:rPr>
      </w:pPr>
      <w:r>
        <w:rPr>
          <w:rFonts w:hint="eastAsia" w:ascii="宋体" w:hAnsi="宋体" w:eastAsia="宋体"/>
          <w:b w:val="0"/>
          <w:bCs w:val="0"/>
          <w:color w:val="auto"/>
          <w:sz w:val="21"/>
          <w:szCs w:val="21"/>
          <w:highlight w:val="none"/>
        </w:rPr>
        <w:t xml:space="preserve">1</w:t>
      </w:r>
      <w:r>
        <w:rPr>
          <w:rFonts w:hint="eastAsia" w:ascii="宋体" w:hAnsi="宋体" w:eastAsia="宋体"/>
          <w:b w:val="0"/>
          <w:bCs w:val="0"/>
          <w:color w:val="auto"/>
          <w:sz w:val="21"/>
          <w:szCs w:val="21"/>
          <w:highlight w:val="none"/>
          <w:lang w:val="en-US" w:eastAsia="zh-CN"/>
        </w:rPr>
        <w:t xml:space="preserve">4</w:t>
      </w:r>
      <w:r>
        <w:rPr>
          <w:rFonts w:hint="eastAsia" w:ascii="宋体" w:hAnsi="宋体" w:eastAsia="宋体"/>
          <w:b w:val="0"/>
          <w:bCs w:val="0"/>
          <w:color w:val="auto"/>
          <w:sz w:val="21"/>
          <w:szCs w:val="21"/>
          <w:highlight w:val="none"/>
        </w:rPr>
        <w:t xml:space="preserve">.7《中小企业声明函》或《残疾人福利性单位声明函》或由省级以上监狱管理局、戒毒管理局（含新疆生产建设兵团）出具的属于监狱企业的证明文件。</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lang w:val="en-US" w:eastAsia="zh-CN"/>
        </w:rPr>
        <w:t xml:space="preserve">如有</w:t>
      </w:r>
      <w:r>
        <w:rPr>
          <w:rFonts w:hint="eastAsia" w:ascii="宋体" w:hAnsi="宋体" w:eastAsia="宋体"/>
          <w:b w:val="0"/>
          <w:bCs w:val="0"/>
          <w:color w:val="auto"/>
          <w:sz w:val="21"/>
          <w:szCs w:val="21"/>
          <w:highlight w:val="none"/>
          <w:lang w:eastAsia="zh-CN"/>
        </w:rPr>
        <w:t xml:space="preserve">）</w:t>
      </w:r>
      <w:r/>
    </w:p>
    <w:p>
      <w:pPr>
        <w:ind w:firstLine="408"/>
        <w:spacing w:line="360" w:lineRule="auto"/>
        <w:shd w:val="clear" w:color="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lang w:val="en-US" w:eastAsia="zh-CN"/>
        </w:rPr>
        <w:t xml:space="preserve">14.8</w:t>
      </w:r>
      <w:r>
        <w:rPr>
          <w:rFonts w:hint="eastAsia" w:ascii="宋体" w:hAnsi="宋体" w:eastAsia="宋体"/>
          <w:b w:val="0"/>
          <w:bCs w:val="0"/>
          <w:color w:val="auto"/>
          <w:sz w:val="21"/>
          <w:szCs w:val="21"/>
          <w:highlight w:val="none"/>
        </w:rPr>
        <w:t xml:space="preserve">采购需求及评分标准中所</w:t>
      </w:r>
      <w:r>
        <w:rPr>
          <w:rFonts w:hint="eastAsia" w:ascii="宋体" w:hAnsi="宋体" w:eastAsia="宋体"/>
          <w:b w:val="0"/>
          <w:bCs w:val="0"/>
          <w:color w:val="auto"/>
          <w:sz w:val="21"/>
          <w:szCs w:val="21"/>
          <w:highlight w:val="none"/>
          <w:lang w:eastAsia="zh-CN"/>
        </w:rPr>
        <w:t xml:space="preserve">涉及</w:t>
      </w:r>
      <w:r>
        <w:rPr>
          <w:rFonts w:hint="eastAsia" w:ascii="宋体" w:hAnsi="宋体" w:eastAsia="宋体"/>
          <w:b w:val="0"/>
          <w:bCs w:val="0"/>
          <w:color w:val="auto"/>
          <w:sz w:val="21"/>
          <w:szCs w:val="21"/>
          <w:highlight w:val="none"/>
        </w:rPr>
        <w:t xml:space="preserve">的其他材料等</w:t>
      </w:r>
      <w:r>
        <w:rPr>
          <w:rFonts w:hint="eastAsia" w:ascii="宋体" w:hAnsi="宋体" w:eastAsia="宋体"/>
          <w:b w:val="0"/>
          <w:bCs w:val="0"/>
          <w:color w:val="auto"/>
          <w:sz w:val="21"/>
          <w:szCs w:val="21"/>
          <w:highlight w:val="none"/>
          <w:lang w:eastAsia="zh-CN"/>
        </w:rPr>
        <w:t xml:space="preserve">。</w:t>
      </w:r>
      <w:r/>
    </w:p>
    <w:p>
      <w:pPr>
        <w:ind w:firstLine="408"/>
        <w:spacing w:line="360" w:lineRule="auto"/>
        <w:shd w:val="clear" w:color="auto"/>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注：1、投标人必须提交上述14.1—14.</w:t>
      </w:r>
      <w:r>
        <w:rPr>
          <w:rFonts w:hint="eastAsia" w:ascii="宋体" w:hAnsi="宋体" w:eastAsia="宋体"/>
          <w:b/>
          <w:bCs/>
          <w:color w:val="auto"/>
          <w:sz w:val="21"/>
          <w:szCs w:val="21"/>
          <w:highlight w:val="none"/>
          <w:lang w:val="en-US" w:eastAsia="zh-CN"/>
        </w:rPr>
        <w:t xml:space="preserve">5</w:t>
      </w:r>
      <w:r>
        <w:rPr>
          <w:rFonts w:hint="eastAsia" w:ascii="宋体" w:hAnsi="宋体" w:eastAsia="宋体"/>
          <w:b/>
          <w:bCs/>
          <w:color w:val="auto"/>
          <w:sz w:val="21"/>
          <w:szCs w:val="21"/>
          <w:highlight w:val="none"/>
        </w:rPr>
        <w:t xml:space="preserve">款规定的资料。否则，投标文件将因资格性条件不符或未实质性响应招标文件而被拒绝；2、投标书二（资质证明和技术部分）中不得出现投标总报价。</w:t>
      </w:r>
      <w:r/>
    </w:p>
    <w:p>
      <w:pPr>
        <w:numPr>
          <w:ilvl w:val="0"/>
          <w:numId w:val="0"/>
        </w:numPr>
        <w:ind w:firstLine="420"/>
        <w:spacing w:line="400" w:lineRule="exact"/>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lang w:val="en-US" w:eastAsia="zh-CN"/>
        </w:rPr>
        <w:t xml:space="preserve">14.7</w:t>
      </w:r>
      <w:r>
        <w:rPr>
          <w:rFonts w:hint="eastAsia" w:asciiTheme="minorEastAsia" w:hAnsiTheme="minorEastAsia" w:eastAsiaTheme="minorEastAsia" w:cstheme="minorEastAsia"/>
          <w:b w:val="0"/>
          <w:bCs/>
          <w:color w:val="auto"/>
          <w:sz w:val="21"/>
          <w:szCs w:val="21"/>
          <w:highlight w:val="none"/>
        </w:rPr>
        <w:t xml:space="preserve">开评标过程中如有问题采购代理机构工作人员会及时通过《投标供应商确认函》留存的手机号与供应商联系。请供应商确保该手机号</w:t>
      </w:r>
      <w:r>
        <w:rPr>
          <w:rFonts w:hint="eastAsia" w:asciiTheme="minorEastAsia" w:hAnsiTheme="minorEastAsia" w:eastAsiaTheme="minorEastAsia" w:cstheme="minorEastAsia"/>
          <w:b w:val="0"/>
          <w:bCs/>
          <w:color w:val="auto"/>
          <w:sz w:val="21"/>
          <w:szCs w:val="21"/>
          <w:highlight w:val="none"/>
          <w:lang w:eastAsia="zh-CN"/>
        </w:rPr>
        <w:t xml:space="preserve">通信畅通</w:t>
      </w:r>
      <w:r>
        <w:rPr>
          <w:rFonts w:hint="eastAsia" w:asciiTheme="minorEastAsia" w:hAnsiTheme="minorEastAsia" w:eastAsiaTheme="minorEastAsia" w:cstheme="minorEastAsia"/>
          <w:b w:val="0"/>
          <w:bCs/>
          <w:color w:val="auto"/>
          <w:sz w:val="21"/>
          <w:szCs w:val="21"/>
          <w:highlight w:val="none"/>
        </w:rPr>
        <w:t xml:space="preserve">，否则导致的不利后果由供应商自行承担。</w:t>
      </w:r>
      <w:r/>
    </w:p>
    <w:p>
      <w:pPr>
        <w:numPr>
          <w:ilvl w:val="0"/>
          <w:numId w:val="2"/>
        </w:numPr>
        <w:spacing w:line="400" w:lineRule="exac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投标文件编制要求</w:t>
      </w:r>
      <w:r/>
    </w:p>
    <w:p>
      <w:pPr>
        <w:ind w:firstLine="420"/>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15.1.投标文件按统一格式、顺序编写。</w:t>
      </w:r>
      <w:r/>
    </w:p>
    <w:p>
      <w:pPr>
        <w:ind w:firstLine="420"/>
        <w:spacing w:line="400" w:lineRule="exac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15.2.《开标一览表》为在开标仪式上唱标的内容，要求按格式填写，统一规范，不得自行增减内容。</w:t>
      </w:r>
      <w:r/>
    </w:p>
    <w:p>
      <w:pPr>
        <w:numPr>
          <w:ilvl w:val="0"/>
          <w:numId w:val="2"/>
        </w:numPr>
        <w:spacing w:line="400" w:lineRule="exac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投标报价（编制）要求的说明</w:t>
      </w:r>
      <w:r/>
    </w:p>
    <w:p>
      <w:pPr>
        <w:ind w:firstLine="420"/>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16.1.投标报价应包括完成该标的物全部内容的一切费用。投标报价为最终报价，投标人所报价格在合同实施期间不因市场变化因素而变动。</w:t>
      </w:r>
      <w:r/>
    </w:p>
    <w:p>
      <w:pPr>
        <w:ind w:firstLine="420"/>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16.2.投标人应按《投标报价表》中的全部货物和服务计算单价和总价。《投标报价表》中的每一单项均应计算并填写单价和总价，并由法定代表人或代理人签署。</w:t>
      </w:r>
      <w:r/>
    </w:p>
    <w:p>
      <w:pPr>
        <w:ind w:firstLine="420"/>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16.3.投标人应对招标文件内所要采购的全部内容进行报价，只投其中部分内容者，其标书将被拒绝。</w:t>
      </w:r>
      <w:r/>
    </w:p>
    <w:p>
      <w:pPr>
        <w:ind w:firstLine="420"/>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16.4.一项投标内容只允许一个报价，采购代理机构不接受任何有选择性的投标报价。</w:t>
      </w:r>
      <w:r/>
    </w:p>
    <w:p>
      <w:pPr>
        <w:ind w:firstLine="420"/>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16.5.投标文件报价中的单价和总价全部采用人民币表示，除非合同的特殊条款另有规定。</w:t>
      </w:r>
      <w:r/>
    </w:p>
    <w:p>
      <w:pPr>
        <w:numPr>
          <w:ilvl w:val="0"/>
          <w:numId w:val="2"/>
        </w:numPr>
        <w:spacing w:line="400" w:lineRule="exac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投标保证金：无</w:t>
      </w:r>
      <w:r/>
    </w:p>
    <w:p>
      <w:pPr>
        <w:numPr>
          <w:ilvl w:val="0"/>
          <w:numId w:val="2"/>
        </w:numPr>
        <w:spacing w:line="400" w:lineRule="exac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投标文件的有效期</w:t>
      </w:r>
      <w:r/>
    </w:p>
    <w:p>
      <w:pPr>
        <w:ind w:firstLine="420"/>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18.1.在本招标文件前附表规定的投标有效期内，投标人所提交的投标文件应保持有效。有效期短于这个规定期限的投标，将被拒绝。</w:t>
      </w:r>
      <w:r/>
    </w:p>
    <w:p>
      <w:pPr>
        <w:ind w:firstLine="420"/>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18.2.在特殊情况下，招标代理机构可与投标人协商延长投标书的有效期。这种要求和答复都应以书面形式进行。同意延长有效期的投标人不能修改投标文件。</w:t>
      </w:r>
      <w:r/>
    </w:p>
    <w:p>
      <w:pPr>
        <w:numPr>
          <w:ilvl w:val="0"/>
          <w:numId w:val="2"/>
        </w:numPr>
        <w:spacing w:line="400" w:lineRule="exac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投标文件的制作、签署、上传</w:t>
      </w:r>
      <w:r/>
    </w:p>
    <w:p>
      <w:pPr>
        <w:numPr>
          <w:ilvl w:val="1"/>
          <w:numId w:val="2"/>
        </w:numPr>
        <w:ind w:left="0" w:firstLine="420"/>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本项目采用电子招投标形式，请供应商按照《苏采云系统供应商操作手册》进行制作、上传电子投标文件。</w:t>
      </w:r>
      <w:r/>
    </w:p>
    <w:p>
      <w:pPr>
        <w:numPr>
          <w:ilvl w:val="1"/>
          <w:numId w:val="2"/>
        </w:numPr>
        <w:ind w:left="0" w:firstLine="420"/>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制作电子投标文件时，应按照招标文件要求加盖投标人电子公章。</w:t>
      </w:r>
      <w:r/>
    </w:p>
    <w:p>
      <w:pPr>
        <w:numPr>
          <w:ilvl w:val="1"/>
          <w:numId w:val="2"/>
        </w:numPr>
        <w:ind w:left="0" w:firstLine="422"/>
        <w:spacing w:line="400" w:lineRule="exac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电子投标文件制作完成后请于投标文件网上提交截止时间前成功上传至“苏采云”系统，否则视为放弃参加该采购项目。</w:t>
      </w:r>
      <w:r>
        <w:rPr>
          <w:rFonts w:hint="eastAsia" w:asciiTheme="minorEastAsia" w:hAnsiTheme="minorEastAsia" w:eastAsiaTheme="minorEastAsia" w:cstheme="minorEastAsia"/>
          <w:bCs/>
          <w:color w:val="auto"/>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numPr>
          <w:ilvl w:val="0"/>
          <w:numId w:val="1"/>
        </w:numPr>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投标文件递交及要求</w:t>
      </w:r>
      <w:r/>
    </w:p>
    <w:p>
      <w:pPr>
        <w:numPr>
          <w:ilvl w:val="0"/>
          <w:numId w:val="2"/>
        </w:numPr>
        <w:spacing w:line="400" w:lineRule="exac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投标文件的递交</w:t>
      </w:r>
      <w:r/>
    </w:p>
    <w:p>
      <w:pPr>
        <w:numPr>
          <w:ilvl w:val="1"/>
          <w:numId w:val="2"/>
        </w:numPr>
        <w:ind w:left="0" w:firstLine="420"/>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投标人应当</w:t>
      </w:r>
      <w:r>
        <w:rPr>
          <w:rFonts w:hint="eastAsia" w:asciiTheme="minorEastAsia" w:hAnsiTheme="minorEastAsia" w:eastAsiaTheme="minorEastAsia" w:cstheme="minorEastAsia"/>
          <w:bCs/>
          <w:color w:val="auto"/>
          <w:sz w:val="21"/>
          <w:szCs w:val="21"/>
          <w:highlight w:val="none"/>
          <w:lang w:eastAsia="zh-CN"/>
        </w:rPr>
        <w:t xml:space="preserve">在</w:t>
      </w:r>
      <w:r>
        <w:rPr>
          <w:rFonts w:hint="eastAsia" w:asciiTheme="minorEastAsia" w:hAnsiTheme="minorEastAsia" w:eastAsiaTheme="minorEastAsia" w:cstheme="minorEastAsia"/>
          <w:bCs/>
          <w:color w:val="auto"/>
          <w:sz w:val="21"/>
          <w:szCs w:val="21"/>
          <w:highlight w:val="none"/>
        </w:rPr>
        <w:t xml:space="preserve">投标截止时间前制作并上传电子投标文件。</w:t>
      </w:r>
      <w:r/>
    </w:p>
    <w:p>
      <w:pPr>
        <w:numPr>
          <w:ilvl w:val="1"/>
          <w:numId w:val="2"/>
        </w:numPr>
        <w:ind w:left="0" w:firstLine="422"/>
        <w:jc w:val="left"/>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投标人通过“苏采云”系统不见面开标大厅在线参与开标活动。（具体操作详见《苏采云系统供应商操作手册》，网址链接https://czju.suzhou.gov.cn/zfcg/html/content/20231220161910031.shtml）</w:t>
      </w:r>
      <w:r/>
    </w:p>
    <w:p>
      <w:pPr>
        <w:numPr>
          <w:ilvl w:val="0"/>
          <w:numId w:val="2"/>
        </w:numPr>
        <w:spacing w:line="400" w:lineRule="exac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投标截止时间</w:t>
      </w:r>
      <w:r/>
    </w:p>
    <w:p>
      <w:pPr>
        <w:numPr>
          <w:ilvl w:val="1"/>
          <w:numId w:val="2"/>
        </w:numPr>
        <w:ind w:left="0" w:firstLine="420"/>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投标人应当在招标文件要求投标文件网上提交截止时间前，将投标文件完成提交（上传）。逾期提交（上传）的投标文件，采购人和采购代理机构拒绝接收。</w:t>
      </w:r>
      <w:r/>
    </w:p>
    <w:p>
      <w:pPr>
        <w:numPr>
          <w:ilvl w:val="1"/>
          <w:numId w:val="2"/>
        </w:numPr>
        <w:ind w:left="0" w:firstLine="420"/>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采购人和采购代理机构推迟投标截止时间时，将按本须知规定的更正公告的方式对外发布。在这种情况下，采购人、采购代理机构和投标人的权利和义务将受到新的截止期的约束。</w:t>
      </w:r>
      <w:r/>
    </w:p>
    <w:p>
      <w:pPr>
        <w:numPr>
          <w:ilvl w:val="1"/>
          <w:numId w:val="2"/>
        </w:numPr>
        <w:ind w:left="0" w:firstLine="420"/>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在投标截止时间止成功解密的投标文件少于三份，采购代理机构有权宣布本次招标失败。</w:t>
      </w:r>
      <w:r/>
    </w:p>
    <w:p>
      <w:pPr>
        <w:numPr>
          <w:ilvl w:val="0"/>
          <w:numId w:val="2"/>
        </w:numPr>
        <w:spacing w:line="400" w:lineRule="exac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投标文件的补充、修改和撤回</w:t>
      </w:r>
      <w:r/>
    </w:p>
    <w:p>
      <w:pPr>
        <w:numPr>
          <w:ilvl w:val="1"/>
          <w:numId w:val="2"/>
        </w:numPr>
        <w:ind w:left="0" w:firstLine="420"/>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投标人在投标文件网上提交截止时间前，可以对其电子投标文件进行补充、修改，具体操作方法见《苏采云系统供应商操作手册》。在投标文件网上提交截止时间之后，投标人不得对其电子投标文件作任何修改。</w:t>
      </w:r>
      <w:r/>
    </w:p>
    <w:p>
      <w:pPr>
        <w:numPr>
          <w:ilvl w:val="1"/>
          <w:numId w:val="2"/>
        </w:numPr>
        <w:ind w:left="0" w:firstLine="420"/>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投标人在投标文件网上提交截止时间前，可以撤回其电子投标文件，</w:t>
      </w:r>
      <w:r>
        <w:rPr>
          <w:rFonts w:hint="eastAsia" w:asciiTheme="minorEastAsia" w:hAnsiTheme="minorEastAsia" w:eastAsiaTheme="minorEastAsia" w:cstheme="minorEastAsia"/>
          <w:b/>
          <w:color w:val="auto"/>
          <w:sz w:val="21"/>
          <w:szCs w:val="21"/>
          <w:highlight w:val="none"/>
        </w:rPr>
        <w:t xml:space="preserve">具体操作方法见《苏采云系统供应商操作手册》</w:t>
      </w:r>
      <w:r>
        <w:rPr>
          <w:rFonts w:hint="eastAsia" w:asciiTheme="minorEastAsia" w:hAnsiTheme="minorEastAsia" w:eastAsiaTheme="minorEastAsia" w:cstheme="minorEastAsia"/>
          <w:bCs/>
          <w:color w:val="auto"/>
          <w:sz w:val="21"/>
          <w:szCs w:val="21"/>
          <w:highlight w:val="none"/>
        </w:rPr>
        <w:t xml:space="preserve">。</w:t>
      </w:r>
      <w:bookmarkStart w:id="32" w:name="_Toc29371"/>
      <w:r/>
      <w:bookmarkStart w:id="33" w:name="_Toc22837"/>
      <w:r>
        <w:rPr>
          <w:rFonts w:hint="eastAsia" w:asciiTheme="minorEastAsia" w:hAnsiTheme="minorEastAsia" w:eastAsiaTheme="minorEastAsia" w:cstheme="minorEastAsia"/>
          <w:bCs/>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p>
    <w:p>
      <w:pPr>
        <w:numPr>
          <w:ilvl w:val="0"/>
          <w:numId w:val="1"/>
        </w:numPr>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开标和评标</w:t>
      </w:r>
      <w:bookmarkEnd w:id="32"/>
      <w:r/>
      <w:bookmarkEnd w:id="33"/>
      <w:r/>
      <w:r/>
    </w:p>
    <w:p>
      <w:pPr>
        <w:numPr>
          <w:ilvl w:val="0"/>
          <w:numId w:val="2"/>
        </w:numPr>
        <w:spacing w:line="400" w:lineRule="exac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开标</w:t>
      </w:r>
      <w:r/>
    </w:p>
    <w:p>
      <w:pPr>
        <w:numPr>
          <w:ilvl w:val="1"/>
          <w:numId w:val="2"/>
        </w:numPr>
        <w:ind w:left="0" w:firstLine="420"/>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numPr>
          <w:ilvl w:val="1"/>
          <w:numId w:val="2"/>
        </w:numPr>
        <w:ind w:left="0" w:firstLine="420"/>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1"/>
          <w:numId w:val="2"/>
        </w:numPr>
        <w:ind w:left="0" w:firstLine="420"/>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资格审查</w:t>
      </w:r>
      <w:r/>
    </w:p>
    <w:p>
      <w:pPr>
        <w:ind w:firstLine="420"/>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23.3.1公开招标采购项目开标结束后，采购人应当依法对投标人的资格进行审查，未通过资格审查的视为无效投标。</w:t>
      </w:r>
      <w:r/>
    </w:p>
    <w:p>
      <w:pPr>
        <w:ind w:firstLine="420"/>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ind w:firstLine="420"/>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23.3.2.1查询时间：投标文件递交截止时间。</w:t>
      </w:r>
      <w:r/>
    </w:p>
    <w:p>
      <w:pPr>
        <w:ind w:firstLine="420"/>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23.3.2.2查询渠道：采购代理机构会在接收投标文件截止时间后，登录信用中国网站（www.creditchina.gov.cn）和中国政府采购网（www.ccgp.gov.cn/）查询供应商的信用记录，并将查询结果递交评标委员会。</w:t>
      </w:r>
      <w:r/>
    </w:p>
    <w:p>
      <w:pPr>
        <w:ind w:firstLine="420"/>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Theme="minorEastAsia" w:hAnsiTheme="minorEastAsia" w:eastAsiaTheme="minorEastAsia" w:cstheme="minorEastAsia"/>
          <w:bCs/>
          <w:color w:val="auto"/>
          <w:sz w:val="21"/>
          <w:szCs w:val="21"/>
          <w:highlight w:val="none"/>
          <w:lang w:eastAsia="zh-CN"/>
        </w:rPr>
        <w:t xml:space="preserve">登录到</w:t>
      </w:r>
      <w:r>
        <w:rPr>
          <w:rFonts w:hint="eastAsia" w:asciiTheme="minorEastAsia" w:hAnsiTheme="minorEastAsia" w:eastAsiaTheme="minorEastAsia" w:cstheme="minorEastAsia"/>
          <w:bCs/>
          <w:color w:val="auto"/>
          <w:sz w:val="21"/>
          <w:szCs w:val="21"/>
          <w:highlight w:val="none"/>
        </w:rPr>
        <w:t xml:space="preserve">来源网站页面进行复核并打印，作为证据留存。</w:t>
      </w:r>
      <w:r/>
    </w:p>
    <w:p>
      <w:pPr>
        <w:ind w:firstLine="420"/>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numPr>
          <w:ilvl w:val="0"/>
          <w:numId w:val="2"/>
        </w:numP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评标委员会</w:t>
      </w:r>
      <w:r/>
    </w:p>
    <w:p>
      <w:pPr>
        <w:numPr>
          <w:ilvl w:val="1"/>
          <w:numId w:val="2"/>
        </w:numPr>
        <w:ind w:left="0"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评标委员会负责具体评标事务，并独立履行下列职责：</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24.1.1审查、评价投标文件是否符合招标文件的商务、技术等实质性要求；</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24.1.2要求投标人对投标文件有关事项作出澄清或者说明；</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24.1.3对投标文件进行比较和评价；</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24.1.4确定中标候选人名单，以及根据采购人委托直接确定中标人；</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24.1.5向采购人、采购代理机构或者有关部门报告评标中发现的违法行为。</w:t>
      </w:r>
      <w:r/>
    </w:p>
    <w:p>
      <w:pPr>
        <w:numPr>
          <w:ilvl w:val="1"/>
          <w:numId w:val="2"/>
        </w:numPr>
        <w:ind w:left="0"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评标委员会成员应当履行下列义务：</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24.2.1遵纪守法，客观、公正、廉洁地履行职责；</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24.2.2按照招标文件规定的评标办法和评标标准进行评标，对评审意见承担个人责任；</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24.2.3对评标过程和结果，以及投标人的商业秘密保密；</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24.2.4评标委员会根据全体评标成员签字的原始评标记录和评标结果编写评标报告。评标报告应当包括以下内容： </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（一）招标公告刊登的媒体名称、开标日期和地点；</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（二）投标人名单和评标委员会成员名单；</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（三）评标方法和标准；</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（四）开标记录和评标情况及说明，包括无效投标人名单及原因；</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（五）评标结果，确定的中标候选人名单或者经采购人委托直接确定的中标人；</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（六）其他需要说明的情况，包括评标过程中投标人根据评标委员会要求进行的澄清、说明或者补正，评标委员会成员的更换等。</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24.2.5配合相关部门的投诉处理工作；</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24.2.6配合采购人和采购代理机构答复投标人提出的质疑。</w:t>
      </w:r>
      <w:r/>
    </w:p>
    <w:p>
      <w:pPr>
        <w:numPr>
          <w:ilvl w:val="0"/>
          <w:numId w:val="2"/>
        </w:numP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评标内容的保密</w:t>
      </w:r>
      <w:r/>
    </w:p>
    <w:p>
      <w:pPr>
        <w:numPr>
          <w:ilvl w:val="1"/>
          <w:numId w:val="2"/>
        </w:numPr>
        <w:ind w:left="0"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公开开标后，直到宣布授予中标合同为止，凡属于审查、澄清、评价和比较投标的所有资料，有关授予合同的信息都不应向投标人或与评标无关的其他人泄露。</w:t>
      </w:r>
      <w:r/>
    </w:p>
    <w:p>
      <w:pPr>
        <w:numPr>
          <w:ilvl w:val="1"/>
          <w:numId w:val="2"/>
        </w:numPr>
        <w:ind w:left="0"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在投标文件的审查、澄清、评价和比较以及授予合同的过程中，投标人对采购人、采购代理机构和评标委员会成员施加影响的任何行为，都将取消其中标资格。</w:t>
      </w:r>
      <w:r/>
    </w:p>
    <w:p>
      <w:pPr>
        <w:numPr>
          <w:ilvl w:val="0"/>
          <w:numId w:val="2"/>
        </w:numP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对投标文件初审</w:t>
      </w:r>
      <w:r/>
    </w:p>
    <w:p>
      <w:pPr>
        <w:numPr>
          <w:ilvl w:val="1"/>
          <w:numId w:val="2"/>
        </w:numPr>
        <w:ind w:left="0"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评标委员会应当对符合资格的投标人的投标文件进行符合性审查，以确定其是否满足招标文件的实质性要求。</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投标文件有下列情况之一者评标委员会有权将其拒绝：</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26.1.1投标人的投标文件未按照本须知规定制作的；</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26.1.2未按本须知规定提交资格文件；</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26.1.3与招标文件有重大偏离；</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26.1.4投标人拒绝修正错误；</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26.1.5投标人的报价是选择性的；</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26.1.6投标人的报价只投了部分内容；</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26.1.7投标人的投标文件出现了评标委员会认为不应当雷同的情况；</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26.1.8其他被评委会认定无效的情况。</w:t>
      </w:r>
      <w:r/>
    </w:p>
    <w:p>
      <w:pPr>
        <w:numPr>
          <w:ilvl w:val="1"/>
          <w:numId w:val="2"/>
        </w:numPr>
        <w:ind w:left="0"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numPr>
          <w:ilvl w:val="1"/>
          <w:numId w:val="2"/>
        </w:numPr>
        <w:ind w:left="0"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投标文件报价出现前后不一致的，除招标文件另有规定外，按照下列规定修正：</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（一）投标文件中开标一览表（报价表）内容与投标文件中相应内容不一致的，以开标一览表（报价表）为准；</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（二）大写金额和小写金额不一致的，以大写金额为准；</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（三）单价金额小数点或者百分比有明显错位的，以开标一览表的总价为准，并修改单价；</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（四）总价金额与按单价汇总金额不一致的，以单价金额计算结果为准。</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numPr>
          <w:ilvl w:val="1"/>
          <w:numId w:val="2"/>
        </w:numPr>
        <w:ind w:left="0"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numPr>
          <w:ilvl w:val="1"/>
          <w:numId w:val="2"/>
        </w:numPr>
        <w:ind w:left="0"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numPr>
          <w:ilvl w:val="0"/>
          <w:numId w:val="2"/>
        </w:numP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投标的澄清</w:t>
      </w:r>
      <w:r/>
    </w:p>
    <w:p>
      <w:pPr>
        <w:numPr>
          <w:ilvl w:val="1"/>
          <w:numId w:val="2"/>
        </w:numPr>
        <w:ind w:left="0"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对于投标文件中含义不明确、同类问题表述不一致或者有明显文字和计算错误的内容，评标委员会应当以书面形式要求投标人作出必要的澄清、说明或者补正。</w:t>
      </w:r>
      <w:r/>
    </w:p>
    <w:p>
      <w:pPr>
        <w:numPr>
          <w:ilvl w:val="1"/>
          <w:numId w:val="2"/>
        </w:numPr>
        <w:ind w:left="0"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投标人的澄清、说明或者补正应当采用书面形式，并加盖其单位电子公章。投标人的澄清、说明或者补正不得超出投标文件的范围或者改变投标文件的实质性内容。</w:t>
      </w:r>
      <w:r/>
    </w:p>
    <w:p>
      <w:pPr>
        <w:pStyle w:val="974"/>
        <w:ind w:firstLine="42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本项目投标人的澄清、说明或者补正采用线上澄清</w:t>
      </w: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rPr>
        <w:t xml:space="preserve">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b/>
          <w:color w:val="auto"/>
          <w:sz w:val="21"/>
          <w:szCs w:val="21"/>
          <w:highlight w:val="none"/>
        </w:rPr>
        <w:t xml:space="preserve">此处规定时间的计算以系统中的倒计时间为准，</w:t>
      </w:r>
      <w:r>
        <w:rPr>
          <w:rFonts w:hint="eastAsia" w:asciiTheme="minorEastAsia" w:hAnsiTheme="minorEastAsia" w:eastAsiaTheme="minorEastAsia" w:cstheme="minorEastAsia"/>
          <w:color w:val="auto"/>
          <w:sz w:val="21"/>
          <w:szCs w:val="21"/>
          <w:highlight w:val="none"/>
        </w:rPr>
        <w:t xml:space="preserve">供应商应随时保持系统在线，如因供应商自身原因未在规定时间内提交澄清确认资料的，导致的不利后果由供应商自行承担。</w:t>
      </w:r>
      <w:r/>
    </w:p>
    <w:p>
      <w:pPr>
        <w:numPr>
          <w:ilvl w:val="0"/>
          <w:numId w:val="2"/>
        </w:numP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投标无效</w:t>
      </w:r>
      <w:r/>
    </w:p>
    <w:p>
      <w:pPr>
        <w:numPr>
          <w:ilvl w:val="1"/>
          <w:numId w:val="2"/>
        </w:numPr>
        <w:ind w:left="0"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投标人存在下列情况之一的，投标无效</w:t>
      </w:r>
      <w:r>
        <w:rPr>
          <w:rFonts w:hint="eastAsia" w:asciiTheme="minorEastAsia" w:hAnsiTheme="minorEastAsia" w:eastAsiaTheme="minorEastAsia" w:cstheme="minorEastAsia"/>
          <w:bCs/>
          <w:color w:val="auto"/>
          <w:sz w:val="21"/>
          <w:szCs w:val="21"/>
          <w:highlight w:val="none"/>
          <w:lang w:eastAsia="zh-CN"/>
        </w:rPr>
        <w:t xml:space="preserve">：</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rPr>
        <w:t xml:space="preserve">一</w:t>
      </w:r>
      <w:r>
        <w:rPr>
          <w:rFonts w:hint="eastAsia" w:asciiTheme="minorEastAsia" w:hAnsiTheme="minorEastAsia" w:eastAsiaTheme="minorEastAsia" w:cstheme="minorEastAsia"/>
          <w:color w:val="auto"/>
          <w:sz w:val="21"/>
          <w:szCs w:val="21"/>
          <w:highlight w:val="none"/>
        </w:rPr>
        <w:t xml:space="preserve">）投标文件未按招标文件要求签署、盖章的；</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rPr>
        <w:t xml:space="preserve">二</w:t>
      </w:r>
      <w:r>
        <w:rPr>
          <w:rFonts w:hint="eastAsia" w:asciiTheme="minorEastAsia" w:hAnsiTheme="minorEastAsia" w:eastAsiaTheme="minorEastAsia" w:cstheme="minorEastAsia"/>
          <w:color w:val="auto"/>
          <w:sz w:val="21"/>
          <w:szCs w:val="21"/>
          <w:highlight w:val="none"/>
        </w:rPr>
        <w:t xml:space="preserve">）不具备招标文件中规定的资格要求的；</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rPr>
        <w:t xml:space="preserve">三</w:t>
      </w:r>
      <w:r>
        <w:rPr>
          <w:rFonts w:hint="eastAsia" w:asciiTheme="minorEastAsia" w:hAnsiTheme="minorEastAsia" w:eastAsiaTheme="minorEastAsia" w:cstheme="minorEastAsia"/>
          <w:color w:val="auto"/>
          <w:sz w:val="21"/>
          <w:szCs w:val="21"/>
          <w:highlight w:val="none"/>
        </w:rPr>
        <w:t xml:space="preserve">）报价超过招标文件中规定的预算金额或者最高限价的；</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rPr>
        <w:t xml:space="preserve">四</w:t>
      </w:r>
      <w:r>
        <w:rPr>
          <w:rFonts w:hint="eastAsia" w:asciiTheme="minorEastAsia" w:hAnsiTheme="minorEastAsia" w:eastAsiaTheme="minorEastAsia" w:cstheme="minorEastAsia"/>
          <w:color w:val="auto"/>
          <w:sz w:val="21"/>
          <w:szCs w:val="21"/>
          <w:highlight w:val="none"/>
        </w:rPr>
        <w:t xml:space="preserve">）投标文件含有采购人不能接受的附加条件的；</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（五）</w:t>
      </w:r>
      <w:r>
        <w:rPr>
          <w:rFonts w:hint="eastAsia" w:asciiTheme="minorEastAsia" w:hAnsiTheme="minorEastAsia" w:eastAsiaTheme="minorEastAsia" w:cstheme="minorEastAsia"/>
          <w:color w:val="auto"/>
          <w:sz w:val="21"/>
          <w:szCs w:val="21"/>
          <w:highlight w:val="none"/>
          <w:lang w:eastAsia="zh-CN"/>
        </w:rPr>
        <w:t xml:space="preserve">法律法规</w:t>
      </w:r>
      <w:r>
        <w:rPr>
          <w:rFonts w:hint="eastAsia" w:asciiTheme="minorEastAsia" w:hAnsiTheme="minorEastAsia" w:eastAsiaTheme="minorEastAsia" w:cstheme="minorEastAsia"/>
          <w:color w:val="auto"/>
          <w:sz w:val="21"/>
          <w:szCs w:val="21"/>
          <w:highlight w:val="none"/>
        </w:rPr>
        <w:t xml:space="preserve">和招标文件规定的其他无效情形。</w:t>
      </w:r>
      <w:r/>
    </w:p>
    <w:p>
      <w:pPr>
        <w:numPr>
          <w:ilvl w:val="1"/>
          <w:numId w:val="2"/>
        </w:numPr>
        <w:ind w:left="0"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投标人应当遵循公平竞争的原则，不得恶意串通，不得妨碍其他投标人的竞争行为，不得损害采购人或者其他投标人的合法权益。</w:t>
      </w:r>
      <w:r/>
    </w:p>
    <w:p>
      <w:pPr>
        <w:ind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在评标过程中发现投标人有上述情形的，评标委员会应当认定其投标无效，并书面报告本级财政部门。</w:t>
      </w:r>
      <w:r/>
    </w:p>
    <w:p>
      <w:pPr>
        <w:numPr>
          <w:ilvl w:val="1"/>
          <w:numId w:val="2"/>
        </w:numPr>
        <w:ind w:left="0"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有下列情形之一的，视为投标人串通投标，其投标无效：</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（一）不同投标人的投标文件由同一单位或者个人编制；</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（二）不同投标人委托同一单位或者个人办理投标事宜；</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（三）不同投标人的投标文件载明的项目管理成员或者联系人员为同一人；</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（四）不同投标人的投标文件异常一致或者投标报价呈规律性差异；</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（五）不同投标人的投标文件相互混装。</w:t>
      </w:r>
      <w:r/>
    </w:p>
    <w:p>
      <w:pPr>
        <w:numPr>
          <w:ilvl w:val="0"/>
          <w:numId w:val="2"/>
        </w:numP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废标</w:t>
      </w:r>
      <w:r/>
    </w:p>
    <w:p>
      <w:pPr>
        <w:numPr>
          <w:ilvl w:val="1"/>
          <w:numId w:val="2"/>
        </w:numPr>
        <w:ind w:left="0"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在招标过程中，出现下列情况之一的，应予废标：</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29.1.1符合专业条件的供应商或者对招标文件作实质投标的供应商不足</w:t>
      </w:r>
      <w:r>
        <w:rPr>
          <w:rFonts w:hint="eastAsia" w:asciiTheme="minorEastAsia" w:hAnsiTheme="minorEastAsia" w:eastAsiaTheme="minorEastAsia" w:cstheme="minorEastAsia"/>
          <w:color w:val="auto"/>
          <w:sz w:val="21"/>
          <w:szCs w:val="21"/>
          <w:highlight w:val="none"/>
          <w:lang w:val="en-US"/>
        </w:rPr>
        <w:t xml:space="preserve">三</w:t>
      </w:r>
      <w:r>
        <w:rPr>
          <w:rFonts w:hint="eastAsia" w:asciiTheme="minorEastAsia" w:hAnsiTheme="minorEastAsia" w:eastAsiaTheme="minorEastAsia" w:cstheme="minorEastAsia"/>
          <w:color w:val="auto"/>
          <w:sz w:val="21"/>
          <w:szCs w:val="21"/>
          <w:highlight w:val="none"/>
        </w:rPr>
        <w:t xml:space="preserve">家的；</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29.1.2出现影响采购公正的违法、违规行为的；</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29.1.3投标人的报价均超过了采购预算，采购人不能支付的；</w:t>
      </w:r>
      <w:r/>
    </w:p>
    <w:p>
      <w:pPr>
        <w:pStyle w:val="974"/>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rPr>
        <w:t xml:space="preserve">9</w:t>
      </w:r>
      <w:r>
        <w:rPr>
          <w:rFonts w:hint="eastAsia" w:asciiTheme="minorEastAsia" w:hAnsiTheme="minorEastAsia" w:eastAsiaTheme="minorEastAsia" w:cstheme="minorEastAsia"/>
          <w:color w:val="auto"/>
          <w:sz w:val="21"/>
          <w:szCs w:val="21"/>
          <w:highlight w:val="none"/>
        </w:rPr>
        <w:t xml:space="preserve">.1.4因重大变故，采购任务取消的；</w:t>
      </w:r>
      <w:r/>
    </w:p>
    <w:p>
      <w:pPr>
        <w:numPr>
          <w:ilvl w:val="1"/>
          <w:numId w:val="2"/>
        </w:numPr>
        <w:ind w:left="0"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废标后，采购人和采购代理机构将把废标的理由通知所有投标人。</w:t>
      </w:r>
      <w:r/>
    </w:p>
    <w:p>
      <w:pPr>
        <w:numPr>
          <w:ilvl w:val="0"/>
          <w:numId w:val="2"/>
        </w:numP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投标文件的评价和比较</w:t>
      </w:r>
      <w:r/>
    </w:p>
    <w:p>
      <w:pPr>
        <w:numPr>
          <w:ilvl w:val="1"/>
          <w:numId w:val="2"/>
        </w:numPr>
        <w:ind w:left="0"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numPr>
          <w:ilvl w:val="1"/>
          <w:numId w:val="2"/>
        </w:numPr>
        <w:ind w:left="0"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最低的投标报价或最高的折扣比例是中标的重要条件，但不是唯一条件。</w:t>
      </w:r>
      <w:bookmarkStart w:id="34" w:name="_Toc18442"/>
      <w:r/>
      <w:bookmarkStart w:id="35" w:name="_Toc19501"/>
      <w:r/>
      <w:r/>
    </w:p>
    <w:p>
      <w:pPr>
        <w:numPr>
          <w:ilvl w:val="0"/>
          <w:numId w:val="1"/>
        </w:numPr>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授予合同</w:t>
      </w:r>
      <w:bookmarkEnd w:id="34"/>
      <w:r/>
      <w:bookmarkEnd w:id="35"/>
      <w:r/>
      <w:r/>
    </w:p>
    <w:p>
      <w:pPr>
        <w:numPr>
          <w:ilvl w:val="0"/>
          <w:numId w:val="2"/>
        </w:numP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中标单位的确认</w:t>
      </w:r>
      <w:r/>
    </w:p>
    <w:p>
      <w:pPr>
        <w:numPr>
          <w:ilvl w:val="1"/>
          <w:numId w:val="2"/>
        </w:numPr>
        <w:ind w:left="0"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评标委员会根据投标人资格审查情况，对投标文件进行评价和比较，按照评标办法和标准进行评标，并按采购人的委托向采购人推荐中标人。</w:t>
      </w:r>
      <w:r/>
    </w:p>
    <w:p>
      <w:pPr>
        <w:numPr>
          <w:ilvl w:val="1"/>
          <w:numId w:val="2"/>
        </w:numPr>
        <w:ind w:left="0"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江苏省政府采购供应商监督管理暂行办法》的规定提交。采购代理机构将在收到质疑后7个工作日内，对质疑内容</w:t>
      </w:r>
      <w:r>
        <w:rPr>
          <w:rFonts w:hint="eastAsia" w:asciiTheme="minorEastAsia" w:hAnsiTheme="minorEastAsia" w:eastAsiaTheme="minorEastAsia" w:cstheme="minorEastAsia"/>
          <w:bCs/>
          <w:color w:val="auto"/>
          <w:sz w:val="21"/>
          <w:szCs w:val="21"/>
          <w:highlight w:val="none"/>
          <w:lang w:eastAsia="zh-CN"/>
        </w:rPr>
        <w:t xml:space="preserve">作出</w:t>
      </w:r>
      <w:r>
        <w:rPr>
          <w:rFonts w:hint="eastAsia" w:asciiTheme="minorEastAsia" w:hAnsiTheme="minorEastAsia" w:eastAsiaTheme="minorEastAsia" w:cstheme="minorEastAsia"/>
          <w:bCs/>
          <w:color w:val="auto"/>
          <w:sz w:val="21"/>
          <w:szCs w:val="21"/>
          <w:highlight w:val="none"/>
        </w:rPr>
        <w:t xml:space="preserve">答复。在此期限后向采购代理机构提出质疑或质疑未经投标人法定代表人或参加投标的代理人签署</w:t>
      </w:r>
      <w:r>
        <w:rPr>
          <w:rFonts w:hint="eastAsia" w:asciiTheme="minorEastAsia" w:hAnsiTheme="minorEastAsia" w:eastAsiaTheme="minorEastAsia" w:cstheme="minorEastAsia"/>
          <w:bCs/>
          <w:color w:val="auto"/>
          <w:sz w:val="21"/>
          <w:szCs w:val="21"/>
          <w:highlight w:val="none"/>
          <w:lang w:eastAsia="zh-CN"/>
        </w:rPr>
        <w:t xml:space="preserve">和加</w:t>
      </w:r>
      <w:r>
        <w:rPr>
          <w:rFonts w:hint="eastAsia" w:asciiTheme="minorEastAsia" w:hAnsiTheme="minorEastAsia" w:eastAsiaTheme="minorEastAsia" w:cstheme="minorEastAsia"/>
          <w:bCs/>
          <w:color w:val="auto"/>
          <w:sz w:val="21"/>
          <w:szCs w:val="21"/>
          <w:highlight w:val="none"/>
        </w:rPr>
        <w:t xml:space="preserve">盖公章（原件），采购代理机构有权对该质疑不予答复。</w:t>
      </w:r>
      <w:r/>
    </w:p>
    <w:p>
      <w:pPr>
        <w:numPr>
          <w:ilvl w:val="0"/>
          <w:numId w:val="2"/>
        </w:numP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合同授予标准</w:t>
      </w:r>
      <w:r/>
    </w:p>
    <w:p>
      <w:pPr>
        <w:ind w:firstLine="420"/>
        <w:spacing w:line="360" w:lineRule="auto"/>
        <w:tabs>
          <w:tab w:val="left" w:pos="425" w:leader="none"/>
          <w:tab w:val="left" w:pos="1134"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numPr>
          <w:ilvl w:val="0"/>
          <w:numId w:val="2"/>
        </w:numP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中标通知书</w:t>
      </w:r>
      <w:r/>
    </w:p>
    <w:p>
      <w:pPr>
        <w:numPr>
          <w:ilvl w:val="1"/>
          <w:numId w:val="2"/>
        </w:numPr>
        <w:ind w:left="0"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eastAsia="zh-CN"/>
        </w:rPr>
        <w:t xml:space="preserve">确定</w:t>
      </w:r>
      <w:r>
        <w:rPr>
          <w:rFonts w:hint="eastAsia" w:asciiTheme="minorEastAsia" w:hAnsiTheme="minorEastAsia" w:eastAsiaTheme="minorEastAsia" w:cstheme="minorEastAsia"/>
          <w:bCs/>
          <w:color w:val="auto"/>
          <w:sz w:val="21"/>
          <w:szCs w:val="21"/>
          <w:highlight w:val="none"/>
        </w:rPr>
        <w:t xml:space="preserve">中标人后，</w:t>
      </w:r>
      <w:r>
        <w:rPr>
          <w:rFonts w:hint="eastAsia" w:asciiTheme="minorEastAsia" w:hAnsiTheme="minorEastAsia" w:eastAsiaTheme="minorEastAsia" w:cstheme="minorEastAsia"/>
          <w:b/>
          <w:color w:val="auto"/>
          <w:sz w:val="21"/>
          <w:szCs w:val="21"/>
          <w:highlight w:val="none"/>
        </w:rPr>
        <w:t xml:space="preserve">采购代理机构在法定时间内向中标人发出中标通知书。请中标人在中标结果公告届满之日起30日内</w:t>
      </w: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rPr>
        <w:t xml:space="preserve">使用CA证书登录“苏采云”系统及时下载中标通知书。</w:t>
      </w:r>
      <w:r>
        <w:rPr>
          <w:rFonts w:hint="eastAsia" w:asciiTheme="minorEastAsia" w:hAnsiTheme="minorEastAsia" w:eastAsiaTheme="minorEastAsia" w:cstheme="minorEastAsia"/>
          <w:bCs/>
          <w:color w:val="auto"/>
          <w:sz w:val="21"/>
          <w:szCs w:val="21"/>
          <w:highlight w:val="none"/>
        </w:rPr>
        <w:t xml:space="preserve">因系统存储空间有限，自中标结果公告届满之日起30日后，“苏采云”系统不再保证提供下载中标通知书服务</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因未及时下载而造成的不利后果由中标人自行承担。</w:t>
      </w:r>
      <w:r/>
    </w:p>
    <w:p>
      <w:pPr>
        <w:numPr>
          <w:ilvl w:val="1"/>
          <w:numId w:val="2"/>
        </w:numPr>
        <w:ind w:left="0"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中标通知书将成为合同的组成部分，对采购人和中标人具有同等法律效力。</w:t>
      </w:r>
      <w:r/>
    </w:p>
    <w:p>
      <w:pPr>
        <w:numPr>
          <w:ilvl w:val="1"/>
          <w:numId w:val="2"/>
        </w:numPr>
        <w:ind w:left="0"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中标通知书发出后，采购人不得违法改变中标结果，中标人无正当理由不得放弃中标。</w:t>
      </w:r>
      <w:r/>
    </w:p>
    <w:p>
      <w:pPr>
        <w:numPr>
          <w:ilvl w:val="0"/>
          <w:numId w:val="2"/>
        </w:numP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合同的签订</w:t>
      </w:r>
      <w:r/>
    </w:p>
    <w:p>
      <w:pPr>
        <w:pStyle w:val="955"/>
        <w:numPr>
          <w:ilvl w:val="1"/>
          <w:numId w:val="2"/>
        </w:numPr>
        <w:ind w:left="0" w:firstLine="502"/>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中标单位应按中标通知书中规定的时间和地点，由法定代表人或委托代理人与甲方代表签订合同</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否则按放弃中标权处理。</w:t>
      </w:r>
      <w:r/>
    </w:p>
    <w:p>
      <w:pPr>
        <w:pStyle w:val="955"/>
        <w:numPr>
          <w:ilvl w:val="1"/>
          <w:numId w:val="2"/>
        </w:numPr>
        <w:ind w:left="0" w:firstLine="502"/>
        <w:jc w:val="both"/>
        <w:spacing w:line="360" w:lineRule="auto"/>
        <w:rPr>
          <w:rFonts w:hint="eastAsia" w:asciiTheme="minorEastAsia" w:hAnsiTheme="minorEastAsia" w:eastAsiaTheme="minorEastAsia" w:cstheme="minorEastAsia"/>
          <w:color w:val="auto"/>
          <w:sz w:val="21"/>
          <w:szCs w:val="21"/>
          <w:highlight w:val="none"/>
        </w:rPr>
      </w:pPr>
      <w:r/>
      <w:bookmarkStart w:id="36" w:name="_Toc21029"/>
      <w:r/>
      <w:bookmarkStart w:id="37" w:name="_Toc8186"/>
      <w:r>
        <w:rPr>
          <w:rFonts w:hint="eastAsia" w:asciiTheme="minorEastAsia" w:hAnsiTheme="minorEastAsia" w:eastAsiaTheme="minorEastAsia" w:cstheme="minorEastAsia"/>
          <w:color w:val="auto"/>
          <w:sz w:val="21"/>
          <w:szCs w:val="21"/>
          <w:highlight w:val="none"/>
        </w:rPr>
        <w:t xml:space="preserve">签订合同及合同条款应以招标文件和中标单位的投标文件及其澄清文件为依据。</w:t>
      </w:r>
      <w:r/>
    </w:p>
    <w:p>
      <w:pPr>
        <w:pStyle w:val="955"/>
        <w:numPr>
          <w:ilvl w:val="1"/>
          <w:numId w:val="2"/>
        </w:numPr>
        <w:ind w:left="0" w:firstLine="502"/>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中标人无正当理由拒签合同的，或在签订合同时向采购单位提出附加条件或者更改合同实质性内容的，报相关政府采购监督部门处理。</w:t>
      </w:r>
      <w:r/>
    </w:p>
    <w:p>
      <w:pPr>
        <w:numPr>
          <w:ilvl w:val="0"/>
          <w:numId w:val="1"/>
        </w:numPr>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其他事项</w:t>
      </w:r>
      <w:bookmarkEnd w:id="36"/>
      <w:r/>
      <w:bookmarkEnd w:id="37"/>
      <w:r/>
      <w:r/>
    </w:p>
    <w:p>
      <w:pPr>
        <w:numPr>
          <w:ilvl w:val="0"/>
          <w:numId w:val="2"/>
        </w:numP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代理</w:t>
      </w:r>
      <w:r>
        <w:rPr>
          <w:rFonts w:hint="eastAsia" w:asciiTheme="minorEastAsia" w:hAnsiTheme="minorEastAsia" w:eastAsiaTheme="minorEastAsia" w:cstheme="minorEastAsia"/>
          <w:b/>
          <w:bCs/>
          <w:color w:val="auto"/>
          <w:sz w:val="21"/>
          <w:szCs w:val="21"/>
          <w:highlight w:val="none"/>
        </w:rPr>
        <w:t xml:space="preserve">服务费</w:t>
      </w:r>
      <w:r/>
    </w:p>
    <w:p>
      <w:pPr>
        <w:ind w:firstLine="420"/>
        <w:spacing w:line="360" w:lineRule="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本项目代理</w:t>
      </w:r>
      <w:r>
        <w:rPr>
          <w:rFonts w:hint="eastAsia" w:asciiTheme="minorEastAsia" w:hAnsiTheme="minorEastAsia" w:eastAsiaTheme="minorEastAsia" w:cstheme="minorEastAsia"/>
          <w:color w:val="auto"/>
          <w:sz w:val="21"/>
          <w:szCs w:val="21"/>
          <w:highlight w:val="none"/>
        </w:rPr>
        <w:t xml:space="preserve">服务费由</w:t>
      </w:r>
      <w:r>
        <w:rPr>
          <w:rFonts w:hint="eastAsia" w:asciiTheme="minorEastAsia" w:hAnsiTheme="minorEastAsia" w:eastAsiaTheme="minorEastAsia" w:cstheme="minorEastAsia"/>
          <w:color w:val="auto"/>
          <w:sz w:val="21"/>
          <w:szCs w:val="21"/>
          <w:highlight w:val="none"/>
          <w:lang w:val="en-US" w:eastAsia="zh-CN"/>
        </w:rPr>
        <w:t xml:space="preserve">采购人支付</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以预算金额作为收费基数标准，按收费比例差额定率累进法计算并支付，具体为100万元以内1.5%、100万元（含）-500万元以内1.1%、500万元（含）-1000万元以内0.8%、1000万元（含）-5000万元以内0.5%、5000万元以上0.25%差额定率累进法计算并支付</w:t>
      </w:r>
      <w:r>
        <w:rPr>
          <w:rFonts w:hint="eastAsia" w:asciiTheme="minorEastAsia" w:hAnsiTheme="minorEastAsia" w:eastAsiaTheme="minorEastAsia" w:cstheme="minorEastAsia"/>
          <w:color w:val="auto"/>
          <w:sz w:val="21"/>
          <w:szCs w:val="21"/>
          <w:highlight w:val="none"/>
          <w:lang w:val="en-US" w:eastAsia="zh-CN"/>
        </w:rPr>
        <w:t xml:space="preserve">代理</w:t>
      </w:r>
      <w:r>
        <w:rPr>
          <w:rFonts w:hint="eastAsia" w:asciiTheme="minorEastAsia" w:hAnsiTheme="minorEastAsia" w:eastAsiaTheme="minorEastAsia" w:cstheme="minorEastAsia"/>
          <w:color w:val="auto"/>
          <w:sz w:val="21"/>
          <w:szCs w:val="21"/>
          <w:highlight w:val="none"/>
        </w:rPr>
        <w:t xml:space="preserve">服务费。</w:t>
      </w:r>
      <w:r>
        <w:rPr>
          <w:rFonts w:hint="eastAsia" w:asciiTheme="minorEastAsia" w:hAnsiTheme="minorEastAsia" w:eastAsiaTheme="minorEastAsia" w:cstheme="minorEastAsia"/>
          <w:b w:val="0"/>
          <w:bCs w:val="0"/>
          <w:color w:val="auto"/>
          <w:sz w:val="21"/>
          <w:szCs w:val="21"/>
          <w:highlight w:val="none"/>
        </w:rPr>
        <w:t xml:space="preserve">本项目</w:t>
      </w:r>
      <w:r>
        <w:rPr>
          <w:rFonts w:hint="eastAsia" w:asciiTheme="minorEastAsia" w:hAnsiTheme="minorEastAsia" w:eastAsiaTheme="minorEastAsia" w:cstheme="minorEastAsia"/>
          <w:b w:val="0"/>
          <w:bCs w:val="0"/>
          <w:color w:val="auto"/>
          <w:sz w:val="21"/>
          <w:szCs w:val="21"/>
          <w:highlight w:val="none"/>
          <w:lang w:val="en-US" w:eastAsia="zh-CN"/>
        </w:rPr>
        <w:t xml:space="preserve">代理</w:t>
      </w:r>
      <w:r>
        <w:rPr>
          <w:rFonts w:hint="eastAsia" w:asciiTheme="minorEastAsia" w:hAnsiTheme="minorEastAsia" w:eastAsiaTheme="minorEastAsia" w:cstheme="minorEastAsia"/>
          <w:b w:val="0"/>
          <w:bCs w:val="0"/>
          <w:color w:val="auto"/>
          <w:sz w:val="21"/>
          <w:szCs w:val="21"/>
          <w:highlight w:val="none"/>
        </w:rPr>
        <w:t xml:space="preserve">服务费为</w:t>
      </w:r>
      <w:r>
        <w:rPr>
          <w:rFonts w:hint="eastAsia" w:asciiTheme="minorEastAsia" w:hAnsiTheme="minorEastAsia" w:eastAsiaTheme="minorEastAsia" w:cstheme="minorEastAsia"/>
          <w:b w:val="0"/>
          <w:bCs w:val="0"/>
          <w:color w:val="auto"/>
          <w:sz w:val="21"/>
          <w:szCs w:val="21"/>
          <w:highlight w:val="none"/>
          <w:lang w:val="en-US" w:eastAsia="zh-CN"/>
        </w:rPr>
        <w:t xml:space="preserve">86040.00元。</w:t>
      </w:r>
      <w:r/>
    </w:p>
    <w:p>
      <w:pPr>
        <w:numPr>
          <w:ilvl w:val="0"/>
          <w:numId w:val="2"/>
        </w:numP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监督</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政府有关监督部门将对招投标全过程进行监督。</w:t>
      </w:r>
      <w:r/>
    </w:p>
    <w:p>
      <w:pPr>
        <w:numPr>
          <w:ilvl w:val="0"/>
          <w:numId w:val="2"/>
        </w:numP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未尽事宜</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按照</w:t>
      </w:r>
      <w:r>
        <w:rPr>
          <w:rFonts w:hint="eastAsia" w:asciiTheme="minorEastAsia" w:hAnsiTheme="minorEastAsia" w:eastAsiaTheme="minorEastAsia" w:cstheme="minorEastAsia"/>
          <w:color w:val="auto"/>
          <w:sz w:val="21"/>
          <w:szCs w:val="21"/>
          <w:highlight w:val="none"/>
        </w:rPr>
        <w:t xml:space="preserve">《中华人民共和国政府采购法》及其他有关的法律法规的规定执行。</w:t>
      </w:r>
      <w:r/>
    </w:p>
    <w:p>
      <w:pPr>
        <w:rPr>
          <w:rFonts w:hint="eastAsia" w:asciiTheme="minorEastAsia" w:hAnsiTheme="minorEastAsia" w:eastAsiaTheme="minorEastAsia" w:cstheme="minorEastAsia"/>
          <w:b/>
          <w:color w:val="auto"/>
          <w:sz w:val="32"/>
          <w:szCs w:val="32"/>
          <w:highlight w:val="none"/>
        </w:rPr>
      </w:pPr>
      <w:r/>
      <w:bookmarkStart w:id="38" w:name="_Toc35951273"/>
      <w:r/>
      <w:bookmarkStart w:id="39" w:name="_Toc492394289"/>
      <w:r>
        <w:rPr>
          <w:rFonts w:hint="eastAsia" w:asciiTheme="minorEastAsia" w:hAnsiTheme="minorEastAsia" w:eastAsiaTheme="minorEastAsia" w:cstheme="minorEastAsia"/>
          <w:b/>
          <w:color w:val="auto"/>
          <w:sz w:val="32"/>
          <w:szCs w:val="32"/>
          <w:highlight w:val="none"/>
        </w:rPr>
        <w:br w:type="page" w:clear="all"/>
      </w:r>
      <w:r/>
    </w:p>
    <w:p>
      <w:pPr>
        <w:pStyle w:val="964"/>
        <w:ind w:left="0"/>
        <w:jc w:val="center"/>
        <w:spacing w:after="0" w:line="360" w:lineRule="auto"/>
        <w:rPr>
          <w:rFonts w:hint="eastAsia" w:asciiTheme="minorEastAsia" w:hAnsiTheme="minorEastAsia" w:eastAsiaTheme="minorEastAsia" w:cstheme="minorEastAsia"/>
          <w:color w:val="auto"/>
          <w:sz w:val="32"/>
          <w:szCs w:val="32"/>
          <w:highlight w:val="none"/>
        </w:rPr>
        <w:outlineLvl w:val="0"/>
      </w:pPr>
      <w:r>
        <w:rPr>
          <w:rFonts w:hint="eastAsia" w:asciiTheme="minorEastAsia" w:hAnsiTheme="minorEastAsia" w:eastAsiaTheme="minorEastAsia" w:cstheme="minorEastAsia"/>
          <w:b/>
          <w:color w:val="auto"/>
          <w:sz w:val="32"/>
          <w:szCs w:val="32"/>
          <w:highlight w:val="none"/>
        </w:rPr>
        <w:t xml:space="preserve">第三章 投标文件格式</w:t>
      </w:r>
      <w:bookmarkEnd w:id="29"/>
      <w:r/>
      <w:bookmarkEnd w:id="30"/>
      <w:r/>
      <w:bookmarkEnd w:id="38"/>
      <w:r/>
      <w:bookmarkEnd w:id="39"/>
      <w:r/>
      <w:r/>
    </w:p>
    <w:p>
      <w:pPr>
        <w:pStyle w:val="955"/>
        <w:ind w:firstLine="0"/>
        <w:jc w:val="both"/>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pStyle w:val="955"/>
        <w:ind w:firstLine="0"/>
        <w:jc w:val="both"/>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说明：</w:t>
      </w:r>
      <w:r/>
    </w:p>
    <w:p>
      <w:pPr>
        <w:pStyle w:val="955"/>
        <w:ind w:firstLine="422"/>
        <w:jc w:val="both"/>
        <w:spacing w:line="360" w:lineRule="auto"/>
        <w:rPr>
          <w:rFonts w:hint="eastAsia" w:asciiTheme="minorEastAsia" w:hAnsiTheme="minorEastAsia" w:eastAsiaTheme="minorEastAsia" w:cstheme="minorEastAsia"/>
          <w:b/>
          <w:color w:val="auto"/>
          <w:sz w:val="21"/>
          <w:szCs w:val="21"/>
          <w:highlight w:val="none"/>
        </w:rPr>
      </w:pPr>
      <w:r/>
      <w:bookmarkStart w:id="40" w:name="_Toc142194266"/>
      <w:r>
        <w:rPr>
          <w:rFonts w:hint="eastAsia" w:asciiTheme="minorEastAsia" w:hAnsiTheme="minorEastAsia" w:eastAsiaTheme="minorEastAsia" w:cstheme="minorEastAsia"/>
          <w:b/>
          <w:color w:val="auto"/>
          <w:sz w:val="21"/>
          <w:szCs w:val="21"/>
          <w:highlight w:val="none"/>
        </w:rPr>
        <w:t xml:space="preserve">对本章所有的投标书格式 ，投标方可根据自身情况进行补充和修改，但补充和修改不得造成与本格式内容有实质性的违背。</w:t>
      </w:r>
      <w:r/>
    </w:p>
    <w:p>
      <w:pPr>
        <w:pStyle w:val="975"/>
        <w:jc w:val="left"/>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br w:type="page" w:clear="all"/>
      </w:r>
      <w:bookmarkStart w:id="41" w:name="_Toc492394290"/>
      <w:r>
        <w:rPr>
          <w:rFonts w:hint="eastAsia" w:asciiTheme="minorEastAsia" w:hAnsiTheme="minorEastAsia" w:eastAsiaTheme="minorEastAsia" w:cstheme="minorEastAsia"/>
          <w:b/>
          <w:color w:val="auto"/>
          <w:sz w:val="21"/>
          <w:szCs w:val="21"/>
          <w:highlight w:val="none"/>
        </w:rPr>
        <w:t xml:space="preserve">一、投标函</w:t>
      </w:r>
      <w:bookmarkEnd w:id="40"/>
      <w:r/>
      <w:bookmarkEnd w:id="41"/>
      <w:r/>
      <w:r/>
    </w:p>
    <w:p>
      <w:pPr>
        <w:pStyle w:val="975"/>
        <w:jc w:val="center"/>
        <w:spacing w:line="360" w:lineRule="auto"/>
        <w:rPr>
          <w:rFonts w:hint="eastAsia" w:asciiTheme="minorEastAsia" w:hAnsiTheme="minorEastAsia" w:eastAsiaTheme="minorEastAsia" w:cstheme="minorEastAsia"/>
          <w:b/>
          <w:color w:val="auto"/>
          <w:szCs w:val="28"/>
          <w:highlight w:val="none"/>
        </w:rPr>
      </w:pPr>
      <w:r>
        <w:rPr>
          <w:rFonts w:hint="eastAsia" w:asciiTheme="minorEastAsia" w:hAnsiTheme="minorEastAsia" w:eastAsiaTheme="minorEastAsia" w:cstheme="minorEastAsia"/>
          <w:b/>
          <w:color w:val="auto"/>
          <w:szCs w:val="28"/>
          <w:highlight w:val="none"/>
        </w:rPr>
        <w:t xml:space="preserve">投标函</w:t>
      </w:r>
      <w:r/>
    </w:p>
    <w:p>
      <w:pPr>
        <w:pStyle w:val="975"/>
        <w:ind w:firstLine="105"/>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江苏苏维工程管理有限公司 </w:t>
      </w:r>
      <w:r>
        <w:rPr>
          <w:rFonts w:hint="eastAsia" w:asciiTheme="minorEastAsia" w:hAnsiTheme="minorEastAsia" w:eastAsiaTheme="minorEastAsia" w:cstheme="minorEastAsia"/>
          <w:color w:val="auto"/>
          <w:sz w:val="21"/>
          <w:szCs w:val="21"/>
          <w:highlight w:val="none"/>
        </w:rPr>
        <w:t xml:space="preserve">：</w:t>
      </w:r>
      <w:r/>
    </w:p>
    <w:p>
      <w:pPr>
        <w:pStyle w:val="975"/>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我们收到贵公司</w:t>
      </w:r>
      <w:r>
        <w:rPr>
          <w:rFonts w:hint="eastAsia" w:asciiTheme="minorEastAsia" w:hAnsiTheme="minorEastAsia" w:eastAsiaTheme="minorEastAsia" w:cstheme="minorEastAsia"/>
          <w:b/>
          <w:color w:val="auto"/>
          <w:sz w:val="21"/>
          <w:szCs w:val="21"/>
          <w:highlight w:val="none"/>
          <w:u w:val="single"/>
          <w:lang w:eastAsia="zh-CN"/>
        </w:rPr>
        <w:t xml:space="preserve">JSZC-320509-SWGC-G2026-0065</w:t>
      </w:r>
      <w:r>
        <w:rPr>
          <w:rFonts w:hint="eastAsia" w:asciiTheme="minorEastAsia" w:hAnsiTheme="minorEastAsia" w:eastAsiaTheme="minorEastAsia" w:cstheme="minorEastAsia"/>
          <w:color w:val="auto"/>
          <w:sz w:val="21"/>
          <w:szCs w:val="21"/>
          <w:highlight w:val="none"/>
        </w:rPr>
        <w:t xml:space="preserve">号招标文件，经仔细阅读和研究，我们决定参加投标。</w:t>
      </w:r>
      <w:r/>
    </w:p>
    <w:p>
      <w:pPr>
        <w:pStyle w:val="975"/>
        <w:numPr>
          <w:ilvl w:val="-1"/>
          <w:numId w:val="0"/>
        </w:num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我们愿意按照招标文件的一切要求，提供包括完成该项目所需的全部内容</w:t>
      </w:r>
      <w:r>
        <w:rPr>
          <w:rFonts w:hint="eastAsia" w:asciiTheme="minorEastAsia" w:hAnsiTheme="minorEastAsia" w:eastAsiaTheme="minorEastAsia" w:cstheme="minorEastAsia"/>
          <w:color w:val="auto"/>
          <w:sz w:val="21"/>
          <w:szCs w:val="21"/>
          <w:highlight w:val="none"/>
          <w:lang w:eastAsia="zh-CN"/>
        </w:rPr>
        <w:t xml:space="preserve">。</w:t>
      </w:r>
      <w:r/>
    </w:p>
    <w:p>
      <w:pPr>
        <w:pStyle w:val="975"/>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w:t>
      </w:r>
      <w:r>
        <w:rPr>
          <w:rFonts w:hint="eastAsia" w:asciiTheme="minorEastAsia" w:hAnsiTheme="minorEastAsia" w:eastAsiaTheme="minorEastAsia" w:cstheme="minorEastAsia"/>
          <w:color w:val="auto"/>
          <w:sz w:val="21"/>
          <w:szCs w:val="21"/>
          <w:highlight w:val="none"/>
        </w:rPr>
        <w:t xml:space="preserve">如果我们的投标文件被接受，我们将严格履行招标文件中规定的每一项要求，按期、按质、按量履行合同的义务。</w:t>
      </w:r>
      <w:r/>
    </w:p>
    <w:p>
      <w:pPr>
        <w:pStyle w:val="975"/>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3.</w:t>
      </w:r>
      <w:r>
        <w:rPr>
          <w:rFonts w:hint="eastAsia" w:asciiTheme="minorEastAsia" w:hAnsiTheme="minorEastAsia" w:eastAsiaTheme="minorEastAsia" w:cstheme="minorEastAsia"/>
          <w:color w:val="auto"/>
          <w:sz w:val="21"/>
          <w:szCs w:val="21"/>
          <w:highlight w:val="none"/>
        </w:rPr>
        <w:t xml:space="preserve">我们已详细审查全部招标文件，包括更正公告（如果有）。我们完全理解并同意放弃对这方面有不明及误解的权力。</w:t>
      </w:r>
      <w:r/>
    </w:p>
    <w:p>
      <w:pPr>
        <w:pStyle w:val="975"/>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4.</w:t>
      </w:r>
      <w:r>
        <w:rPr>
          <w:rFonts w:hint="eastAsia" w:asciiTheme="minorEastAsia" w:hAnsiTheme="minorEastAsia" w:eastAsiaTheme="minorEastAsia" w:cstheme="minorEastAsia"/>
          <w:color w:val="auto"/>
          <w:sz w:val="21"/>
          <w:szCs w:val="21"/>
          <w:highlight w:val="none"/>
        </w:rPr>
        <w:t xml:space="preserve">我们同意按招标文件中的规定，本投标文件的有效期限为投标截止之日起60日内。</w:t>
      </w:r>
      <w:r/>
    </w:p>
    <w:p>
      <w:pPr>
        <w:pStyle w:val="976"/>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5.</w:t>
      </w:r>
      <w:r>
        <w:rPr>
          <w:rFonts w:hint="eastAsia" w:asciiTheme="minorEastAsia" w:hAnsiTheme="minorEastAsia" w:eastAsiaTheme="minorEastAsia" w:cstheme="minorEastAsia"/>
          <w:color w:val="auto"/>
          <w:sz w:val="21"/>
          <w:szCs w:val="21"/>
          <w:highlight w:val="none"/>
        </w:rPr>
        <w:t xml:space="preserve">我们愿意提供招标代理机构在招标文件中要求的所有资料。也同意向招标代理机构提供招标代理机构可能另外要求的与投标有关的任何证据或资料。并保证所提供的资料全部是真实的、有效的，若有虚假，我们愿承担一切责任。</w:t>
      </w:r>
      <w:r/>
    </w:p>
    <w:p>
      <w:pPr>
        <w:pStyle w:val="976"/>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6.</w:t>
      </w:r>
      <w:r>
        <w:rPr>
          <w:rFonts w:hint="eastAsia" w:asciiTheme="minorEastAsia" w:hAnsiTheme="minorEastAsia" w:eastAsiaTheme="minorEastAsia" w:cstheme="minorEastAsia"/>
          <w:color w:val="auto"/>
          <w:sz w:val="21"/>
          <w:szCs w:val="21"/>
          <w:highlight w:val="none"/>
        </w:rPr>
        <w:t xml:space="preserve">我们声明：我们在参加本次政府采购活动前三年内在经营活动中没有重大违法记录。</w:t>
      </w:r>
      <w:r/>
    </w:p>
    <w:p>
      <w:pPr>
        <w:pStyle w:val="955"/>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7.</w:t>
      </w:r>
      <w:r>
        <w:rPr>
          <w:rFonts w:hint="eastAsia" w:asciiTheme="minorEastAsia" w:hAnsiTheme="minorEastAsia" w:eastAsiaTheme="minorEastAsia" w:cstheme="minorEastAsia"/>
          <w:color w:val="auto"/>
          <w:sz w:val="21"/>
          <w:szCs w:val="21"/>
          <w:highlight w:val="none"/>
        </w:rPr>
        <w:t xml:space="preserve">我们愿意遵守招标公告及招标文件中所列的收费标准。</w:t>
      </w:r>
      <w:r/>
    </w:p>
    <w:p>
      <w:pPr>
        <w:pStyle w:val="976"/>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8.</w:t>
      </w:r>
      <w:r>
        <w:rPr>
          <w:rFonts w:hint="eastAsia" w:asciiTheme="minorEastAsia" w:hAnsiTheme="minorEastAsia" w:eastAsiaTheme="minorEastAsia" w:cstheme="minorEastAsia"/>
          <w:color w:val="auto"/>
          <w:sz w:val="21"/>
          <w:szCs w:val="21"/>
          <w:highlight w:val="none"/>
        </w:rPr>
        <w:t xml:space="preserve">我们承诺该项投标在开标后的全过程中保持有效，不作任何更改和变动。我们同意中标后若不履行投标文件的内容要求和各项承诺及义务的即被视为违约，其中标资格将被取消，并接受相应的处罚。</w:t>
      </w:r>
      <w:r/>
    </w:p>
    <w:p>
      <w:pPr>
        <w:pStyle w:val="976"/>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我们承诺我公司符合招标文件投标人须知中“合格投标人的资格条件”的要求，若与真实情况不符，本公司愿意承担由此而产生的一切后果。</w:t>
      </w:r>
      <w:r/>
    </w:p>
    <w:p>
      <w:pPr>
        <w:pStyle w:val="976"/>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1</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综合说明：</w:t>
      </w:r>
      <w:r/>
    </w:p>
    <w:p>
      <w:pPr>
        <w:pStyle w:val="976"/>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（1）伴随服务及配合措施；（2）要求甲方提供的配合；（3）对招标文件有不同意见的偏离说明；（4）</w:t>
      </w:r>
      <w:r>
        <w:rPr>
          <w:rFonts w:hint="eastAsia" w:asciiTheme="minorEastAsia" w:hAnsiTheme="minorEastAsia" w:eastAsiaTheme="minorEastAsia" w:cstheme="minorEastAsia"/>
          <w:color w:val="auto"/>
          <w:sz w:val="21"/>
          <w:szCs w:val="21"/>
          <w:highlight w:val="none"/>
          <w:lang w:eastAsia="zh-CN"/>
        </w:rPr>
        <w:t xml:space="preserve">其他</w:t>
      </w:r>
      <w:r>
        <w:rPr>
          <w:rFonts w:hint="eastAsia" w:asciiTheme="minorEastAsia" w:hAnsiTheme="minorEastAsia" w:eastAsiaTheme="minorEastAsia" w:cstheme="minorEastAsia"/>
          <w:color w:val="auto"/>
          <w:sz w:val="21"/>
          <w:szCs w:val="21"/>
          <w:highlight w:val="none"/>
        </w:rPr>
        <w:t xml:space="preserve">说明。</w:t>
      </w:r>
      <w:r/>
    </w:p>
    <w:p>
      <w:pPr>
        <w:pStyle w:val="976"/>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所有有关标书的函电，请按下列地址联系：</w:t>
      </w:r>
      <w:r/>
    </w:p>
    <w:p>
      <w:pPr>
        <w:pStyle w:val="976"/>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976"/>
        <w:ind w:firstLine="42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单    位：                    联 系 人：</w:t>
      </w:r>
      <w:r/>
    </w:p>
    <w:p>
      <w:pPr>
        <w:pStyle w:val="976"/>
        <w:ind w:firstLine="42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地    址：                    邮政编码：</w:t>
      </w:r>
      <w:r/>
    </w:p>
    <w:p>
      <w:pPr>
        <w:pStyle w:val="976"/>
        <w:ind w:firstLine="42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联系电话：                    传    真：</w:t>
      </w:r>
      <w:r/>
    </w:p>
    <w:p>
      <w:pPr>
        <w:pStyle w:val="976"/>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投标人：（盖章）</w:t>
      </w:r>
      <w:r/>
    </w:p>
    <w:p>
      <w:pPr>
        <w:pStyle w:val="976"/>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单位法定代表人或代理人：（签字或盖章）          </w:t>
      </w:r>
      <w:r/>
    </w:p>
    <w:p>
      <w:pPr>
        <w:pStyle w:val="976"/>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年    月    日</w:t>
      </w:r>
      <w:r/>
    </w:p>
    <w:p>
      <w:pPr>
        <w:rPr>
          <w:rFonts w:hint="eastAsia" w:asciiTheme="minorEastAsia" w:hAnsiTheme="minorEastAsia" w:eastAsiaTheme="minorEastAsia" w:cstheme="minorEastAsia"/>
          <w:b/>
          <w:color w:val="auto"/>
          <w:sz w:val="21"/>
          <w:szCs w:val="21"/>
          <w:highlight w:val="none"/>
        </w:rPr>
      </w:pPr>
      <w:r/>
      <w:bookmarkStart w:id="42" w:name="_Toc142194267"/>
      <w:r/>
      <w:bookmarkStart w:id="43" w:name="_Toc492394291"/>
      <w:r>
        <w:rPr>
          <w:rFonts w:hint="eastAsia" w:asciiTheme="minorEastAsia" w:hAnsiTheme="minorEastAsia" w:eastAsiaTheme="minorEastAsia" w:cstheme="minorEastAsia"/>
          <w:b/>
          <w:color w:val="auto"/>
          <w:sz w:val="21"/>
          <w:szCs w:val="21"/>
          <w:highlight w:val="none"/>
        </w:rPr>
        <w:br w:type="page" w:clear="all"/>
      </w:r>
      <w:r/>
    </w:p>
    <w:p>
      <w:pPr>
        <w:pStyle w:val="975"/>
        <w:jc w:val="left"/>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二、</w:t>
      </w:r>
      <w:bookmarkEnd w:id="42"/>
      <w:r>
        <w:rPr>
          <w:rFonts w:hint="eastAsia" w:asciiTheme="minorEastAsia" w:hAnsiTheme="minorEastAsia" w:eastAsiaTheme="minorEastAsia" w:cstheme="minorEastAsia"/>
          <w:b/>
          <w:color w:val="auto"/>
          <w:sz w:val="21"/>
          <w:szCs w:val="21"/>
          <w:highlight w:val="none"/>
        </w:rPr>
        <w:t xml:space="preserve">（投标人）法定代表人授权委托书</w:t>
      </w:r>
      <w:bookmarkEnd w:id="43"/>
      <w:r/>
      <w:r/>
    </w:p>
    <w:p>
      <w:pPr>
        <w:pStyle w:val="955"/>
        <w:ind w:firstLine="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955"/>
        <w:ind w:firstLine="0"/>
        <w:jc w:val="cente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法定代表人授权委托书</w:t>
      </w:r>
      <w:r/>
    </w:p>
    <w:p>
      <w:pPr>
        <w:pStyle w:val="955"/>
        <w:ind w:firstLine="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955"/>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本授权委托书声明：我（姓名）系（投标人名称）的法定代表人，现授权委托（单位名称）的（姓名）为我公司代理人，以本公司的名义参加江苏苏维工程管理有限公司组织实施的编号为</w:t>
      </w:r>
      <w:r>
        <w:rPr>
          <w:rFonts w:hint="eastAsia" w:asciiTheme="minorEastAsia" w:hAnsiTheme="minorEastAsia" w:eastAsiaTheme="minorEastAsia" w:cstheme="minorEastAsia"/>
          <w:b/>
          <w:color w:val="auto"/>
          <w:sz w:val="21"/>
          <w:szCs w:val="21"/>
          <w:highlight w:val="none"/>
          <w:u w:val="single"/>
          <w:lang w:eastAsia="zh-CN"/>
        </w:rPr>
        <w:t xml:space="preserve">JSZC-320509-SWGC-G2026-0065</w:t>
      </w:r>
      <w:r>
        <w:rPr>
          <w:rFonts w:hint="eastAsia" w:asciiTheme="minorEastAsia" w:hAnsiTheme="minorEastAsia" w:eastAsiaTheme="minorEastAsia" w:cstheme="minorEastAsia"/>
          <w:color w:val="auto"/>
          <w:sz w:val="21"/>
          <w:szCs w:val="21"/>
          <w:highlight w:val="none"/>
        </w:rPr>
        <w:t xml:space="preserve">号的招标活动。代理人在开标、评标、合同谈判过程中所签署的一切文件和处理与这有关的一切事务，我均予以承认。</w:t>
      </w:r>
      <w:r/>
    </w:p>
    <w:p>
      <w:pPr>
        <w:pStyle w:val="955"/>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pStyle w:val="955"/>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代理人无转委托权。特此委托。</w:t>
      </w:r>
      <w:r/>
    </w:p>
    <w:p>
      <w:pPr>
        <w:pStyle w:val="955"/>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955"/>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955"/>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投标人：（盖章）</w:t>
      </w:r>
      <w:r/>
    </w:p>
    <w:p>
      <w:pPr>
        <w:pStyle w:val="955"/>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法定代表人：（签字或盖章）</w:t>
      </w:r>
      <w:r/>
    </w:p>
    <w:p>
      <w:pPr>
        <w:pStyle w:val="955"/>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年    月    日</w:t>
      </w:r>
      <w:bookmarkStart w:id="44" w:name="_Toc142194268"/>
      <w:r/>
      <w:r/>
    </w:p>
    <w:p>
      <w:pPr>
        <w:pStyle w:val="975"/>
        <w:jc w:val="left"/>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br w:type="page" w:clear="all"/>
      </w:r>
      <w:bookmarkStart w:id="45" w:name="_Toc492394292"/>
      <w:r>
        <w:rPr>
          <w:rFonts w:hint="eastAsia" w:asciiTheme="minorEastAsia" w:hAnsiTheme="minorEastAsia" w:eastAsiaTheme="minorEastAsia" w:cstheme="minorEastAsia"/>
          <w:b/>
          <w:color w:val="auto"/>
          <w:sz w:val="21"/>
          <w:szCs w:val="21"/>
          <w:highlight w:val="none"/>
        </w:rPr>
        <w:t xml:space="preserve">三、</w:t>
      </w:r>
      <w:bookmarkEnd w:id="44"/>
      <w:r/>
      <w:bookmarkEnd w:id="45"/>
      <w:r>
        <w:rPr>
          <w:rFonts w:hint="eastAsia" w:asciiTheme="minorEastAsia" w:hAnsiTheme="minorEastAsia" w:eastAsiaTheme="minorEastAsia" w:cstheme="minorEastAsia"/>
          <w:b/>
          <w:color w:val="auto"/>
          <w:sz w:val="21"/>
          <w:szCs w:val="21"/>
          <w:highlight w:val="none"/>
        </w:rPr>
        <w:t xml:space="preserve">开标一览表</w:t>
      </w:r>
      <w:r/>
    </w:p>
    <w:p>
      <w:pPr>
        <w:jc w:val="center"/>
        <w:rPr>
          <w:rFonts w:hint="eastAsia" w:asciiTheme="minorEastAsia" w:hAnsiTheme="minorEastAsia" w:eastAsiaTheme="minorEastAsia" w:cstheme="minorEastAsia"/>
          <w:b/>
          <w:color w:val="auto"/>
          <w:sz w:val="32"/>
          <w:szCs w:val="32"/>
          <w:highlight w:val="none"/>
        </w:rPr>
      </w:pPr>
      <w:r/>
      <w:bookmarkStart w:id="46" w:name="_Toc142194270"/>
      <w:r>
        <w:rPr>
          <w:rFonts w:hint="eastAsia" w:asciiTheme="minorEastAsia" w:hAnsiTheme="minorEastAsia" w:eastAsiaTheme="minorEastAsia" w:cstheme="minorEastAsia"/>
          <w:b/>
          <w:color w:val="auto"/>
          <w:sz w:val="32"/>
          <w:szCs w:val="32"/>
          <w:highlight w:val="none"/>
          <w:lang w:val="zh-CN"/>
        </w:rPr>
        <w:t xml:space="preserve">开标一览表</w:t>
      </w:r>
      <w:r/>
    </w:p>
    <w:p>
      <w:pPr>
        <w:ind w:firstLine="359"/>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p>
      <w:pPr>
        <w:pStyle w:val="975"/>
        <w:ind w:firstLine="420"/>
        <w:spacing w:line="48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投标单位：                             招标编号：</w:t>
      </w:r>
      <w:r>
        <w:rPr>
          <w:rFonts w:hint="eastAsia" w:asciiTheme="minorEastAsia" w:hAnsiTheme="minorEastAsia" w:eastAsiaTheme="minorEastAsia" w:cstheme="minorEastAsia"/>
          <w:color w:val="auto"/>
          <w:sz w:val="21"/>
          <w:szCs w:val="21"/>
          <w:highlight w:val="none"/>
          <w:lang w:eastAsia="zh-CN"/>
        </w:rPr>
        <w:t xml:space="preserve">JSZC-320509-SWGC-G2026-0065</w:t>
      </w:r>
      <w:r/>
    </w:p>
    <w:p>
      <w:pPr>
        <w:pStyle w:val="975"/>
        <w:ind w:firstLine="420"/>
        <w:spacing w:line="480" w:lineRule="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标段号:</w:t>
      </w:r>
      <w:bookmarkStart w:id="79" w:name="_GoBack"/>
      <w:r/>
      <w:bookmarkEnd w:id="79"/>
      <w:r/>
      <w:r/>
    </w:p>
    <w:tbl>
      <w:tblPr>
        <w:tblStyle w:val="952"/>
        <w:tblW w:w="9220" w:type="dxa"/>
        <w:jc w:val="center"/>
        <w:tblLayout w:type="fixed"/>
        <w:tblCellMar>
          <w:left w:w="108" w:type="dxa"/>
          <w:top w:w="0" w:type="dxa"/>
          <w:right w:w="108" w:type="dxa"/>
          <w:bottom w:w="0" w:type="dxa"/>
        </w:tblCellMar>
        <w:tblLook w:val="04A0" w:firstRow="1" w:lastRow="0" w:firstColumn="1" w:lastColumn="0" w:noHBand="0" w:noVBand="1"/>
      </w:tblPr>
      <w:tblGrid>
        <w:gridCol w:w="684"/>
        <w:gridCol w:w="3306"/>
        <w:gridCol w:w="2268"/>
        <w:gridCol w:w="1843"/>
        <w:gridCol w:w="1119"/>
      </w:tblGrid>
      <w:tr>
        <w:trPr>
          <w:jc w:val="center"/>
          <w:trHeight w:val="605"/>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widowControl/>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序号</w:t>
            </w:r>
            <w:r/>
          </w:p>
        </w:tc>
        <w:tc>
          <w:tcPr>
            <w:tcBorders>
              <w:top w:val="single" w:color="auto" w:sz="4" w:space="0"/>
              <w:left w:val="none" w:color="000000" w:sz="4" w:space="0"/>
              <w:bottom w:val="single" w:color="auto" w:sz="4" w:space="0"/>
              <w:right w:val="single" w:color="auto" w:sz="4" w:space="0"/>
            </w:tcBorders>
            <w:tcW w:w="3306"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投标报价（元）</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服务期限</w:t>
            </w:r>
            <w:r/>
          </w:p>
        </w:tc>
        <w:tc>
          <w:tcPr>
            <w:tcBorders>
              <w:top w:val="single" w:color="auto" w:sz="4" w:space="0"/>
              <w:left w:val="none" w:color="000000" w:sz="4" w:space="0"/>
              <w:bottom w:val="single" w:color="auto" w:sz="4" w:space="0"/>
              <w:right w:val="single" w:color="auto" w:sz="4" w:space="0"/>
            </w:tcBorders>
            <w:tcW w:w="1119"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备注</w:t>
            </w:r>
            <w:r/>
          </w:p>
        </w:tc>
      </w:tr>
      <w:tr>
        <w:trPr>
          <w:jc w:val="center"/>
          <w:trHeight w:val="771"/>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3306" w:type="dxa"/>
            <w:vAlign w:val="center"/>
            <w:textDirection w:val="lrTb"/>
            <w:noWrap w:val="false"/>
          </w:tcPr>
          <w:p>
            <w:pPr>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2026年管线普查及数据升级项目</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19" w:type="dxa"/>
            <w:vAlign w:val="center"/>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771"/>
        </w:trPr>
        <w:tc>
          <w:tcPr>
            <w:gridSpan w:val="5"/>
            <w:tcBorders>
              <w:top w:val="single" w:color="auto" w:sz="4" w:space="0"/>
              <w:left w:val="single" w:color="auto" w:sz="4" w:space="0"/>
              <w:bottom w:val="single" w:color="auto" w:sz="4" w:space="0"/>
              <w:right w:val="single" w:color="auto" w:sz="4" w:space="0"/>
            </w:tcBorders>
            <w:tcW w:w="9220" w:type="dxa"/>
            <w:vAlign w:val="center"/>
            <w:textDirection w:val="lrTb"/>
            <w:noWrap w:val="false"/>
          </w:tcPr>
          <w:p>
            <w:pPr>
              <w:tabs>
                <w:tab w:val="left" w:pos="1845"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投标总报价：人民币（大写）                   小写（¥：             ）</w:t>
            </w:r>
            <w:r/>
          </w:p>
        </w:tc>
      </w:tr>
    </w:tbl>
    <w:p>
      <w:pPr>
        <w:ind w:firstLine="35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35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955"/>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投标人：（盖章）</w:t>
      </w:r>
      <w:r/>
    </w:p>
    <w:p>
      <w:pPr>
        <w:pStyle w:val="955"/>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法定代表人或其授权委托人：（签字或盖章）                   </w:t>
      </w:r>
      <w:r/>
    </w:p>
    <w:p>
      <w:pPr>
        <w:pStyle w:val="955"/>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日期：年  月  日</w:t>
      </w:r>
      <w:r/>
    </w:p>
    <w:p>
      <w:pPr>
        <w:pStyle w:val="955"/>
        <w:ind w:firstLine="422"/>
        <w:jc w:val="both"/>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jc w:val="left"/>
        <w:rPr>
          <w:rFonts w:hint="eastAsia" w:asciiTheme="minorEastAsia" w:hAnsiTheme="minorEastAsia" w:eastAsiaTheme="minorEastAsia" w:cstheme="minorEastAsia"/>
          <w:b/>
          <w:color w:val="auto"/>
          <w:sz w:val="32"/>
          <w:szCs w:val="32"/>
          <w:highlight w:val="none"/>
          <w:lang w:val="zh-CN"/>
        </w:rPr>
      </w:pPr>
      <w:r>
        <w:rPr>
          <w:rFonts w:hint="eastAsia" w:asciiTheme="minorEastAsia" w:hAnsiTheme="minorEastAsia" w:eastAsiaTheme="minorEastAsia" w:cstheme="minorEastAsia"/>
          <w:b/>
          <w:color w:val="auto"/>
          <w:sz w:val="32"/>
          <w:szCs w:val="32"/>
          <w:highlight w:val="none"/>
          <w:lang w:val="zh-CN"/>
        </w:rPr>
        <w:br w:type="page" w:clear="all"/>
      </w:r>
      <w:r/>
    </w:p>
    <w:p>
      <w:pPr>
        <w:pStyle w:val="957"/>
        <w:ind w:left="0"/>
        <w:jc w:val="center"/>
        <w:rPr>
          <w:rFonts w:hint="eastAsia" w:asciiTheme="minorEastAsia" w:hAnsiTheme="minorEastAsia" w:eastAsia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 xml:space="preserve">投标报价分析表</w:t>
      </w:r>
      <w:r>
        <w:rPr>
          <w:rFonts w:hint="eastAsia" w:asciiTheme="minorEastAsia" w:hAnsiTheme="minorEastAsia" w:eastAsiaTheme="minorEastAsia" w:cstheme="minorEastAsia"/>
          <w:b/>
          <w:color w:val="auto"/>
          <w:sz w:val="30"/>
          <w:szCs w:val="30"/>
          <w:highlight w:val="none"/>
          <w:lang w:eastAsia="zh-CN"/>
        </w:rPr>
        <w:t xml:space="preserve">（</w:t>
      </w:r>
      <w:r>
        <w:rPr>
          <w:rFonts w:hint="eastAsia" w:asciiTheme="minorEastAsia" w:hAnsiTheme="minorEastAsia" w:eastAsiaTheme="minorEastAsia" w:cstheme="minorEastAsia"/>
          <w:b/>
          <w:color w:val="auto"/>
          <w:sz w:val="30"/>
          <w:szCs w:val="30"/>
          <w:highlight w:val="none"/>
          <w:lang w:val="en-US" w:eastAsia="zh-CN"/>
        </w:rPr>
        <w:t xml:space="preserve">格式可自拟</w:t>
      </w:r>
      <w:r>
        <w:rPr>
          <w:rFonts w:hint="eastAsia" w:asciiTheme="minorEastAsia" w:hAnsiTheme="minorEastAsia" w:eastAsiaTheme="minorEastAsia" w:cstheme="minorEastAsia"/>
          <w:b/>
          <w:color w:val="auto"/>
          <w:sz w:val="30"/>
          <w:szCs w:val="30"/>
          <w:highlight w:val="none"/>
          <w:lang w:eastAsia="zh-CN"/>
        </w:rPr>
        <w:t xml:space="preserve">）</w:t>
      </w:r>
      <w:r/>
    </w:p>
    <w:p>
      <w:pPr>
        <w:pStyle w:val="957"/>
        <w:ind w:left="56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招标编号：                                       项目名称：</w:t>
      </w:r>
      <w:r/>
    </w:p>
    <w:p>
      <w:pPr>
        <w:pStyle w:val="957"/>
        <w:ind w:left="560"/>
        <w:rPr>
          <w:rFonts w:hint="default" w:eastAsiaTheme="minorEastAsia"/>
          <w:color w:val="auto"/>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标段号：</w:t>
      </w:r>
      <w:r/>
    </w:p>
    <w:tbl>
      <w:tblPr>
        <w:tblStyle w:val="952"/>
        <w:tblW w:w="93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2886"/>
        <w:gridCol w:w="1290"/>
        <w:gridCol w:w="2595"/>
        <w:gridCol w:w="1665"/>
      </w:tblGrid>
      <w:tr>
        <w:trPr>
          <w:cantSplit/>
          <w:trHeight w:val="552"/>
        </w:trPr>
        <w:tc>
          <w:tcPr>
            <w:tcW w:w="881" w:type="dxa"/>
            <w:vAlign w:val="center"/>
            <w:textDirection w:val="lrTb"/>
            <w:noWrap w:val="false"/>
          </w:tcPr>
          <w:p>
            <w:pPr>
              <w:pStyle w:val="957"/>
              <w:ind w:left="0"/>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序号</w:t>
            </w:r>
            <w:r/>
          </w:p>
        </w:tc>
        <w:tc>
          <w:tcPr>
            <w:tcW w:w="2886" w:type="dxa"/>
            <w:vAlign w:val="center"/>
            <w:textDirection w:val="lrTb"/>
            <w:noWrap w:val="false"/>
          </w:tcPr>
          <w:p>
            <w:pPr>
              <w:pStyle w:val="957"/>
              <w:ind w:left="0"/>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投入项目及费用名称</w:t>
            </w:r>
            <w:r/>
          </w:p>
        </w:tc>
        <w:tc>
          <w:tcPr>
            <w:tcW w:w="1290" w:type="dxa"/>
            <w:vAlign w:val="center"/>
            <w:textDirection w:val="lrTb"/>
            <w:noWrap w:val="false"/>
          </w:tcPr>
          <w:p>
            <w:pPr>
              <w:pStyle w:val="957"/>
              <w:ind w:left="0"/>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数量</w:t>
            </w:r>
            <w:r/>
          </w:p>
        </w:tc>
        <w:tc>
          <w:tcPr>
            <w:tcW w:w="2595" w:type="dxa"/>
            <w:vAlign w:val="center"/>
            <w:textDirection w:val="lrTb"/>
            <w:noWrap w:val="false"/>
          </w:tcPr>
          <w:p>
            <w:pPr>
              <w:pStyle w:val="957"/>
              <w:ind w:left="0"/>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金额（人民币元）</w:t>
            </w:r>
            <w:r/>
          </w:p>
        </w:tc>
        <w:tc>
          <w:tcPr>
            <w:tcW w:w="1665" w:type="dxa"/>
            <w:vAlign w:val="center"/>
            <w:textDirection w:val="lrTb"/>
            <w:noWrap w:val="false"/>
          </w:tcPr>
          <w:p>
            <w:pPr>
              <w:pStyle w:val="957"/>
              <w:ind w:left="0"/>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备注</w:t>
            </w:r>
            <w:r/>
          </w:p>
        </w:tc>
      </w:tr>
      <w:tr>
        <w:trPr>
          <w:cantSplit/>
          <w:trHeight w:val="517"/>
        </w:trPr>
        <w:tc>
          <w:tcPr>
            <w:tcW w:w="881"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W w:w="2886"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90"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595"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665"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517"/>
        </w:trPr>
        <w:tc>
          <w:tcPr>
            <w:tcW w:w="881"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2886"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90"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595"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665"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517"/>
        </w:trPr>
        <w:tc>
          <w:tcPr>
            <w:tcW w:w="881"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2886"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90"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595"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665"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517"/>
        </w:trPr>
        <w:tc>
          <w:tcPr>
            <w:tcW w:w="881"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W w:w="2886"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90"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595"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665"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517"/>
        </w:trPr>
        <w:tc>
          <w:tcPr>
            <w:tcW w:w="881"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W w:w="2886"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90"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595"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665"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517"/>
        </w:trPr>
        <w:tc>
          <w:tcPr>
            <w:tcW w:w="881"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86"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90"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595"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665"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561"/>
        </w:trPr>
        <w:tc>
          <w:tcPr>
            <w:tcW w:w="881"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86"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90"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595"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665"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517"/>
        </w:trPr>
        <w:tc>
          <w:tcPr>
            <w:tcW w:w="881"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tc>
        <w:tc>
          <w:tcPr>
            <w:tcW w:w="2886"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90"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595"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665"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517"/>
        </w:trPr>
        <w:tc>
          <w:tcPr>
            <w:gridSpan w:val="3"/>
            <w:tcW w:w="5057"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合计费用（元）</w:t>
            </w:r>
            <w:r/>
          </w:p>
        </w:tc>
        <w:tc>
          <w:tcPr>
            <w:gridSpan w:val="2"/>
            <w:tcW w:w="4260" w:type="dxa"/>
            <w:vAlign w:val="center"/>
            <w:textDirection w:val="lrTb"/>
            <w:noWrap w:val="false"/>
          </w:tcPr>
          <w:p>
            <w:pPr>
              <w:pStyle w:val="957"/>
              <w:ind w:lef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pStyle w:val="957"/>
        <w:ind w:left="56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r>
      <w:r/>
    </w:p>
    <w:p>
      <w:pPr>
        <w:pStyle w:val="955"/>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投标人：（盖章）</w:t>
      </w:r>
      <w:r/>
    </w:p>
    <w:p>
      <w:pPr>
        <w:pStyle w:val="955"/>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法定代表人或其授权委托人：（签字或盖章）                   </w:t>
      </w:r>
      <w:r/>
    </w:p>
    <w:p>
      <w:pPr>
        <w:pStyle w:val="955"/>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日期：年  月  日</w:t>
      </w:r>
      <w:r/>
    </w:p>
    <w:p>
      <w:pPr>
        <w:pStyle w:val="955"/>
        <w:ind w:firstLine="569"/>
        <w:jc w:val="both"/>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color w:val="auto"/>
          <w:sz w:val="21"/>
          <w:szCs w:val="21"/>
          <w:highlight w:val="none"/>
        </w:rPr>
        <w:br w:type="page" w:clear="all"/>
      </w:r>
      <w:bookmarkStart w:id="47" w:name="_Toc492394294"/>
      <w:r/>
      <w:r/>
    </w:p>
    <w:p>
      <w:pPr>
        <w:pStyle w:val="975"/>
        <w:jc w:val="left"/>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四、服务技术要求偏离表</w:t>
      </w:r>
      <w:r/>
    </w:p>
    <w:p>
      <w:pPr>
        <w:pStyle w:val="977"/>
        <w:jc w:val="center"/>
        <w:spacing w:line="360" w:lineRule="auto"/>
        <w:rPr>
          <w:rFonts w:hint="eastAsia" w:asciiTheme="minorEastAsia" w:hAnsiTheme="minorEastAsia" w:eastAsiaTheme="minorEastAsia" w:cstheme="minorEastAsia"/>
          <w:b/>
          <w:color w:val="auto"/>
          <w:sz w:val="21"/>
          <w:szCs w:val="24"/>
          <w:highlight w:val="none"/>
        </w:rPr>
      </w:pPr>
      <w:r>
        <w:rPr>
          <w:rFonts w:hint="eastAsia" w:asciiTheme="minorEastAsia" w:hAnsiTheme="minorEastAsia" w:eastAsiaTheme="minorEastAsia" w:cstheme="minorEastAsia"/>
          <w:b/>
          <w:color w:val="auto"/>
          <w:sz w:val="21"/>
          <w:szCs w:val="24"/>
          <w:highlight w:val="none"/>
        </w:rPr>
        <w:t xml:space="preserve">服务技术要求偏离表</w:t>
      </w:r>
      <w:r/>
    </w:p>
    <w:tbl>
      <w:tblPr>
        <w:tblStyle w:val="952"/>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108"/>
        <w:gridCol w:w="1752"/>
        <w:gridCol w:w="1699"/>
        <w:gridCol w:w="1757"/>
      </w:tblGrid>
      <w:tr>
        <w:trPr>
          <w:jc w:val="center"/>
        </w:trPr>
        <w:tc>
          <w:tcPr>
            <w:tcW w:w="828" w:type="dxa"/>
            <w:vAlign w:val="center"/>
            <w:textDirection w:val="lrTb"/>
            <w:noWrap w:val="false"/>
          </w:tcPr>
          <w:p>
            <w:pPr>
              <w:jc w:val="center"/>
              <w:spacing w:before="240" w:after="240"/>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W w:w="3108"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招标服务要求</w:t>
            </w:r>
            <w:r/>
          </w:p>
        </w:tc>
        <w:tc>
          <w:tcPr>
            <w:tcW w:w="1752"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投标服务要求</w:t>
            </w:r>
            <w:r/>
          </w:p>
        </w:tc>
        <w:tc>
          <w:tcPr>
            <w:tcW w:w="1699"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偏离/响应</w:t>
            </w:r>
            <w:r/>
          </w:p>
        </w:tc>
        <w:tc>
          <w:tcPr>
            <w:tcW w:w="1757"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说明</w:t>
            </w:r>
            <w:r/>
          </w:p>
        </w:tc>
      </w:tr>
      <w:tr>
        <w:trPr>
          <w:jc w:val="center"/>
        </w:trPr>
        <w:tc>
          <w:tcPr>
            <w:tcW w:w="828" w:type="dxa"/>
            <w:textDirection w:val="lrTb"/>
            <w:noWrap w:val="false"/>
          </w:tcPr>
          <w:p>
            <w:pPr>
              <w:jc w:val="left"/>
              <w:spacing w:before="240" w:after="240"/>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108" w:type="dxa"/>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752"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699"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757"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828" w:type="dxa"/>
            <w:textDirection w:val="lrTb"/>
            <w:noWrap w:val="false"/>
          </w:tcPr>
          <w:p>
            <w:pPr>
              <w:jc w:val="left"/>
              <w:spacing w:before="240" w:after="240"/>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108"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752"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699"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757"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828" w:type="dxa"/>
            <w:textDirection w:val="lrTb"/>
            <w:noWrap w:val="false"/>
          </w:tcPr>
          <w:p>
            <w:pPr>
              <w:jc w:val="left"/>
              <w:spacing w:before="240" w:after="240"/>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108"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752"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699"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757"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828" w:type="dxa"/>
            <w:textDirection w:val="lrTb"/>
            <w:noWrap w:val="false"/>
          </w:tcPr>
          <w:p>
            <w:pPr>
              <w:jc w:val="left"/>
              <w:spacing w:before="240" w:after="240"/>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108"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752"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699"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757"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828" w:type="dxa"/>
            <w:textDirection w:val="lrTb"/>
            <w:noWrap w:val="false"/>
          </w:tcPr>
          <w:p>
            <w:pPr>
              <w:jc w:val="left"/>
              <w:spacing w:before="240" w:after="240"/>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108"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752"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699"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757"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828" w:type="dxa"/>
            <w:textDirection w:val="lrTb"/>
            <w:noWrap w:val="false"/>
          </w:tcPr>
          <w:p>
            <w:pPr>
              <w:jc w:val="left"/>
              <w:spacing w:before="240" w:after="240"/>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108"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752"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699"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757"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828" w:type="dxa"/>
            <w:textDirection w:val="lrTb"/>
            <w:noWrap w:val="false"/>
          </w:tcPr>
          <w:p>
            <w:pPr>
              <w:jc w:val="left"/>
              <w:spacing w:before="240" w:after="240"/>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108"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752"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699"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757"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828" w:type="dxa"/>
            <w:textDirection w:val="lrTb"/>
            <w:noWrap w:val="false"/>
          </w:tcPr>
          <w:p>
            <w:pPr>
              <w:jc w:val="left"/>
              <w:spacing w:before="240" w:after="240"/>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108"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752"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699"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757"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828" w:type="dxa"/>
            <w:textDirection w:val="lrTb"/>
            <w:noWrap w:val="false"/>
          </w:tcPr>
          <w:p>
            <w:pPr>
              <w:jc w:val="left"/>
              <w:spacing w:before="240" w:after="240"/>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108"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752"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699"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757" w:type="dxa"/>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jc w:val="left"/>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注：1</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投标单位应对照招标文件技术要求等要求，所投标的物与招标文件的规定有偏离的，应在此表中申明与技术要求条文的偏差和例外。</w:t>
      </w:r>
      <w:r/>
    </w:p>
    <w:p>
      <w:pPr>
        <w:ind w:firstLine="420"/>
        <w:jc w:val="left"/>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w:t>
      </w:r>
      <w:r>
        <w:rPr>
          <w:rFonts w:hint="eastAsia" w:asciiTheme="minorEastAsia" w:hAnsiTheme="minorEastAsia" w:eastAsiaTheme="minorEastAsia" w:cstheme="minorEastAsia"/>
          <w:color w:val="auto"/>
          <w:sz w:val="21"/>
          <w:szCs w:val="21"/>
          <w:highlight w:val="none"/>
        </w:rPr>
        <w:t xml:space="preserve">未在上表中说明的，如在投标文件其他内容中已有文字说明的，则以已有文字说明为准，否则，将被认为完全响应招标文件的规定。但该表不作为投标单位对所投标的物关于技术要求等详细描述和说明的替代。</w:t>
      </w:r>
      <w:r/>
    </w:p>
    <w:p>
      <w:pPr>
        <w:ind w:firstLine="42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投标单位（公章）：</w:t>
      </w:r>
      <w:r/>
    </w:p>
    <w:p>
      <w:pPr>
        <w:ind w:firstLine="42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法定代表人或代理人：（签字或签章）</w:t>
      </w:r>
      <w:r/>
    </w:p>
    <w:p>
      <w:pPr>
        <w:ind w:firstLine="42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年     月     日</w:t>
      </w:r>
      <w:r/>
    </w:p>
    <w:p>
      <w:pPr>
        <w:pStyle w:val="975"/>
        <w:jc w:val="left"/>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bCs/>
          <w:color w:val="auto"/>
          <w:sz w:val="21"/>
          <w:szCs w:val="21"/>
          <w:highlight w:val="none"/>
        </w:rPr>
        <w:br w:type="page" w:clear="all"/>
      </w:r>
      <w:r>
        <w:rPr>
          <w:rFonts w:hint="eastAsia" w:asciiTheme="minorEastAsia" w:hAnsiTheme="minorEastAsia" w:eastAsiaTheme="minorEastAsia" w:cstheme="minorEastAsia"/>
          <w:b/>
          <w:color w:val="auto"/>
          <w:sz w:val="21"/>
          <w:szCs w:val="21"/>
          <w:highlight w:val="none"/>
        </w:rPr>
        <w:t xml:space="preserve">五、商务条款偏离表</w:t>
      </w:r>
      <w:r/>
    </w:p>
    <w:p>
      <w:pPr>
        <w:jc w:val="cente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商务条款偏离表</w:t>
      </w:r>
      <w:r/>
    </w:p>
    <w:tbl>
      <w:tblPr>
        <w:tblStyle w:val="952"/>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1"/>
        <w:gridCol w:w="1953"/>
        <w:gridCol w:w="2282"/>
        <w:gridCol w:w="2232"/>
        <w:gridCol w:w="1259"/>
      </w:tblGrid>
      <w:tr>
        <w:trPr>
          <w:jc w:val="center"/>
          <w:trHeight w:val="551"/>
        </w:trPr>
        <w:tc>
          <w:tcPr>
            <w:tcW w:w="1431" w:type="dxa"/>
            <w:textDirection w:val="lrTb"/>
            <w:noWrap w:val="false"/>
          </w:tcPr>
          <w:p>
            <w:pPr>
              <w:jc w:val="center"/>
              <w:spacing w:before="120" w:line="360" w:lineRule="auto"/>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zh-CN"/>
              </w:rPr>
              <w:t xml:space="preserve">序号</w:t>
            </w:r>
            <w:r/>
          </w:p>
        </w:tc>
        <w:tc>
          <w:tcPr>
            <w:tcW w:w="1953" w:type="dxa"/>
            <w:textDirection w:val="lrTb"/>
            <w:noWrap w:val="false"/>
          </w:tcPr>
          <w:p>
            <w:pPr>
              <w:jc w:val="center"/>
              <w:spacing w:before="120" w:line="360" w:lineRule="auto"/>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zh-CN"/>
              </w:rPr>
              <w:t xml:space="preserve">采购文件条目号</w:t>
            </w:r>
            <w:r/>
          </w:p>
        </w:tc>
        <w:tc>
          <w:tcPr>
            <w:tcW w:w="2282" w:type="dxa"/>
            <w:textDirection w:val="lrTb"/>
            <w:noWrap w:val="false"/>
          </w:tcPr>
          <w:p>
            <w:pPr>
              <w:jc w:val="center"/>
              <w:spacing w:before="120" w:line="360" w:lineRule="auto"/>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zh-CN"/>
              </w:rPr>
              <w:t xml:space="preserve">采购文件的商务条款</w:t>
            </w:r>
            <w:r/>
          </w:p>
        </w:tc>
        <w:tc>
          <w:tcPr>
            <w:tcW w:w="2232" w:type="dxa"/>
            <w:textDirection w:val="lrTb"/>
            <w:noWrap w:val="false"/>
          </w:tcPr>
          <w:p>
            <w:pPr>
              <w:jc w:val="center"/>
              <w:spacing w:before="120" w:line="360" w:lineRule="auto"/>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zh-CN"/>
              </w:rPr>
              <w:t xml:space="preserve">投标文件的商务条款</w:t>
            </w:r>
            <w:r/>
          </w:p>
        </w:tc>
        <w:tc>
          <w:tcPr>
            <w:tcW w:w="1259" w:type="dxa"/>
            <w:textDirection w:val="lrTb"/>
            <w:noWrap w:val="false"/>
          </w:tcPr>
          <w:p>
            <w:pPr>
              <w:jc w:val="center"/>
              <w:spacing w:before="120" w:line="360" w:lineRule="auto"/>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zh-CN"/>
              </w:rPr>
              <w:t xml:space="preserve">说明</w:t>
            </w:r>
            <w:r/>
          </w:p>
        </w:tc>
      </w:tr>
      <w:tr>
        <w:trPr>
          <w:jc w:val="center"/>
          <w:trHeight w:val="573"/>
        </w:trPr>
        <w:tc>
          <w:tcPr>
            <w:tcW w:w="1431"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c>
          <w:tcPr>
            <w:tcW w:w="1953"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c>
          <w:tcPr>
            <w:tcW w:w="2282"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c>
          <w:tcPr>
            <w:tcW w:w="2232"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c>
          <w:tcPr>
            <w:tcW w:w="1259"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r>
      <w:tr>
        <w:trPr>
          <w:jc w:val="center"/>
          <w:trHeight w:val="553"/>
        </w:trPr>
        <w:tc>
          <w:tcPr>
            <w:tcW w:w="1431"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c>
          <w:tcPr>
            <w:tcW w:w="1953"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c>
          <w:tcPr>
            <w:tcW w:w="2282"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c>
          <w:tcPr>
            <w:tcW w:w="2232"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c>
          <w:tcPr>
            <w:tcW w:w="1259"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r>
      <w:tr>
        <w:trPr>
          <w:jc w:val="center"/>
          <w:trHeight w:val="547"/>
        </w:trPr>
        <w:tc>
          <w:tcPr>
            <w:tcW w:w="1431"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c>
          <w:tcPr>
            <w:tcW w:w="1953"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c>
          <w:tcPr>
            <w:tcW w:w="2282"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c>
          <w:tcPr>
            <w:tcW w:w="2232"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c>
          <w:tcPr>
            <w:tcW w:w="1259"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r>
      <w:tr>
        <w:trPr>
          <w:jc w:val="center"/>
          <w:trHeight w:val="480"/>
        </w:trPr>
        <w:tc>
          <w:tcPr>
            <w:tcW w:w="1431"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c>
          <w:tcPr>
            <w:tcW w:w="1953"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c>
          <w:tcPr>
            <w:tcW w:w="2282"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c>
          <w:tcPr>
            <w:tcW w:w="2232"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c>
          <w:tcPr>
            <w:tcW w:w="1259"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r>
      <w:tr>
        <w:trPr>
          <w:jc w:val="center"/>
          <w:trHeight w:val="633"/>
        </w:trPr>
        <w:tc>
          <w:tcPr>
            <w:tcW w:w="1431"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c>
          <w:tcPr>
            <w:tcW w:w="1953"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c>
          <w:tcPr>
            <w:tcW w:w="2282"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c>
          <w:tcPr>
            <w:tcW w:w="2232"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c>
          <w:tcPr>
            <w:tcW w:w="1259"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r>
      <w:tr>
        <w:trPr>
          <w:jc w:val="center"/>
          <w:trHeight w:val="571"/>
        </w:trPr>
        <w:tc>
          <w:tcPr>
            <w:tcW w:w="1431"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c>
          <w:tcPr>
            <w:tcW w:w="1953"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c>
          <w:tcPr>
            <w:tcW w:w="2282"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c>
          <w:tcPr>
            <w:tcW w:w="2232"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c>
          <w:tcPr>
            <w:tcW w:w="1259" w:type="dxa"/>
            <w:textDirection w:val="lrTb"/>
            <w:noWrap w:val="false"/>
          </w:tcPr>
          <w:p>
            <w:pPr>
              <w:jc w:val="center"/>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tc>
      </w:tr>
    </w:tbl>
    <w:p>
      <w:pPr>
        <w:jc w:val="left"/>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p>
      <w:pPr>
        <w:jc w:val="left"/>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投标单位（公章）：</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法定代表人或代理人：（签字或签章）</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日期：年月日</w:t>
      </w:r>
      <w:r/>
    </w:p>
    <w:p>
      <w:pPr>
        <w:jc w:val="left"/>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jc w:val="left"/>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jc w:val="left"/>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978"/>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投标单位的投标文件（除技术要求部分）与采购文件规定的有偏离的，应在此表中说明，但该表不作为投标单位对所投标的物关于商务条款等详细描述和说明的替代。未在上表中说明的，将被认为完全响应采购文件的规定。</w:t>
      </w:r>
      <w:r/>
    </w:p>
    <w:p>
      <w:pPr>
        <w:pStyle w:val="975"/>
        <w:jc w:val="left"/>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br w:type="page" w:clear="all"/>
      </w:r>
      <w:r>
        <w:rPr>
          <w:rFonts w:hint="eastAsia" w:asciiTheme="minorEastAsia" w:hAnsiTheme="minorEastAsia" w:eastAsiaTheme="minorEastAsia" w:cstheme="minorEastAsia"/>
          <w:b/>
          <w:color w:val="auto"/>
          <w:sz w:val="21"/>
          <w:szCs w:val="21"/>
          <w:highlight w:val="none"/>
        </w:rPr>
        <w:t xml:space="preserve">六、资格证明文件</w:t>
      </w:r>
      <w:bookmarkEnd w:id="46"/>
      <w:r/>
      <w:bookmarkEnd w:id="47"/>
      <w:r/>
      <w:r/>
    </w:p>
    <w:p>
      <w:pPr>
        <w:pStyle w:val="96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pStyle w:val="975"/>
        <w:jc w:val="left"/>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eastAsia="zh-CN"/>
        </w:rPr>
        <w:t xml:space="preserve">1.</w:t>
      </w:r>
      <w:r>
        <w:rPr>
          <w:rFonts w:hint="eastAsia" w:asciiTheme="minorEastAsia" w:hAnsiTheme="minorEastAsia" w:eastAsiaTheme="minorEastAsia" w:cstheme="minorEastAsia"/>
          <w:b/>
          <w:color w:val="auto"/>
          <w:sz w:val="21"/>
          <w:szCs w:val="21"/>
          <w:highlight w:val="none"/>
        </w:rPr>
        <w:t xml:space="preserve">关于资格文件的声明函</w:t>
      </w:r>
      <w:r/>
    </w:p>
    <w:p>
      <w:pPr>
        <w:pStyle w:val="955"/>
        <w:ind w:firstLine="0"/>
        <w:jc w:val="cente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pStyle w:val="955"/>
        <w:ind w:firstLine="0"/>
        <w:jc w:val="cente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关于资格文件的声明函</w:t>
      </w:r>
      <w:r/>
    </w:p>
    <w:p>
      <w:pPr>
        <w:pStyle w:val="955"/>
        <w:ind w:firstLine="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lang w:val="zh-CN"/>
        </w:rPr>
        <w:t xml:space="preserve">江苏苏维工程管理有限公司</w:t>
      </w:r>
      <w:r>
        <w:rPr>
          <w:rFonts w:hint="eastAsia" w:asciiTheme="minorEastAsia" w:hAnsiTheme="minorEastAsia" w:eastAsiaTheme="minorEastAsia" w:cstheme="minorEastAsia"/>
          <w:color w:val="auto"/>
          <w:sz w:val="21"/>
          <w:szCs w:val="21"/>
          <w:highlight w:val="none"/>
          <w:lang w:val="zh-CN"/>
        </w:rPr>
        <w:t xml:space="preserve">：</w:t>
      </w:r>
      <w:r/>
    </w:p>
    <w:p>
      <w:pPr>
        <w:pStyle w:val="955"/>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本公司愿就由贵公司组织实施的编号为</w:t>
      </w:r>
      <w:r>
        <w:rPr>
          <w:rFonts w:hint="eastAsia" w:asciiTheme="minorEastAsia" w:hAnsiTheme="minorEastAsia" w:eastAsiaTheme="minorEastAsia" w:cstheme="minorEastAsia"/>
          <w:b/>
          <w:color w:val="auto"/>
          <w:sz w:val="21"/>
          <w:szCs w:val="21"/>
          <w:highlight w:val="none"/>
          <w:u w:val="single"/>
          <w:lang w:val="zh-CN"/>
        </w:rPr>
        <w:t xml:space="preserve">JSZC-320509-SWGC-G2026-0065</w:t>
      </w:r>
      <w:r>
        <w:rPr>
          <w:rFonts w:hint="eastAsia" w:asciiTheme="minorEastAsia" w:hAnsiTheme="minorEastAsia" w:eastAsiaTheme="minorEastAsia" w:cstheme="minorEastAsia"/>
          <w:color w:val="auto"/>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pStyle w:val="955"/>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955"/>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955"/>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955"/>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955"/>
        <w:ind w:left="2800"/>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投标人（盖章）：</w:t>
      </w:r>
      <w:r/>
    </w:p>
    <w:p>
      <w:pPr>
        <w:pStyle w:val="955"/>
        <w:ind w:left="2800"/>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955"/>
        <w:ind w:left="2800"/>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投标人法定代</w:t>
      </w:r>
      <w:r>
        <w:rPr>
          <w:rFonts w:hint="eastAsia" w:asciiTheme="minorEastAsia" w:hAnsiTheme="minorEastAsia" w:eastAsiaTheme="minorEastAsia" w:cstheme="minorEastAsia"/>
          <w:color w:val="auto"/>
          <w:sz w:val="21"/>
          <w:szCs w:val="21"/>
          <w:highlight w:val="none"/>
          <w:lang w:eastAsia="zh-CN"/>
        </w:rPr>
        <w:t xml:space="preserve">表人</w:t>
      </w:r>
      <w:r>
        <w:rPr>
          <w:rFonts w:hint="eastAsia" w:asciiTheme="minorEastAsia" w:hAnsiTheme="minorEastAsia" w:eastAsiaTheme="minorEastAsia" w:cstheme="minorEastAsia"/>
          <w:color w:val="auto"/>
          <w:sz w:val="21"/>
          <w:szCs w:val="21"/>
          <w:highlight w:val="none"/>
        </w:rPr>
        <w:t xml:space="preserve">或其授权人：（签字或盖章）：</w:t>
      </w:r>
      <w:r/>
    </w:p>
    <w:p>
      <w:pPr>
        <w:pStyle w:val="955"/>
        <w:ind w:left="2800"/>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955"/>
        <w:ind w:left="2800"/>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日期：年    月    日</w:t>
      </w:r>
      <w:r/>
    </w:p>
    <w:p>
      <w:pPr>
        <w:pStyle w:val="975"/>
        <w:jc w:val="left"/>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rPr>
          <w:rFonts w:hint="eastAsia" w:asciiTheme="minorEastAsia" w:hAnsiTheme="minorEastAsia" w:eastAsiaTheme="minorEastAsia" w:cstheme="minorEastAsia"/>
          <w:color w:val="auto"/>
          <w:sz w:val="21"/>
          <w:szCs w:val="21"/>
          <w:highlight w:val="none"/>
          <w:lang w:eastAsia="zh-CN"/>
        </w:rPr>
        <w:t xml:space="preserve">2.</w:t>
      </w:r>
      <w:r>
        <w:rPr>
          <w:rFonts w:hint="eastAsia" w:asciiTheme="minorEastAsia" w:hAnsiTheme="minorEastAsia" w:eastAsiaTheme="minorEastAsia" w:cstheme="minorEastAsia"/>
          <w:b/>
          <w:color w:val="auto"/>
          <w:sz w:val="21"/>
          <w:szCs w:val="21"/>
          <w:highlight w:val="none"/>
        </w:rPr>
        <w:t xml:space="preserve">投标人情况表</w:t>
      </w:r>
      <w:r/>
    </w:p>
    <w:p>
      <w:pPr>
        <w:pStyle w:val="955"/>
        <w:ind w:firstLine="0"/>
        <w:jc w:val="cente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pStyle w:val="955"/>
        <w:ind w:firstLine="0"/>
        <w:jc w:val="center"/>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t xml:space="preserve">供应商情况表</w:t>
      </w:r>
      <w:r/>
    </w:p>
    <w:p>
      <w:pPr>
        <w:pStyle w:val="95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955"/>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单位名称（盖章）</w:t>
      </w:r>
      <w:r/>
    </w:p>
    <w:tbl>
      <w:tblPr>
        <w:tblStyle w:val="952"/>
        <w:tblW w:w="907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446"/>
        </w:trPr>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pStyle w:val="955"/>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法定代表人（负责人）</w:t>
            </w:r>
            <w:r/>
          </w:p>
        </w:tc>
        <w:tc>
          <w:tcPr>
            <w:tcBorders>
              <w:top w:val="single" w:color="auto" w:sz="6" w:space="0"/>
              <w:left w:val="single" w:color="auto" w:sz="6" w:space="0"/>
              <w:bottom w:val="single" w:color="auto" w:sz="6" w:space="0"/>
              <w:right w:val="single" w:color="auto" w:sz="6" w:space="0"/>
            </w:tcBorders>
            <w:tcW w:w="2268" w:type="dxa"/>
            <w:textDirection w:val="lrTb"/>
            <w:noWrap w:val="false"/>
          </w:tcPr>
          <w:p>
            <w:pPr>
              <w:pStyle w:val="955"/>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559" w:type="dxa"/>
            <w:textDirection w:val="lrTb"/>
            <w:noWrap w:val="false"/>
          </w:tcPr>
          <w:p>
            <w:pPr>
              <w:pStyle w:val="955"/>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94" w:type="dxa"/>
            <w:textDirection w:val="lrTb"/>
            <w:noWrap w:val="false"/>
          </w:tcPr>
          <w:p>
            <w:pPr>
              <w:pStyle w:val="955"/>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jc w:val="center"/>
          <w:trHeight w:val="470"/>
        </w:trPr>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pStyle w:val="955"/>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注册地址</w:t>
            </w:r>
            <w:r/>
          </w:p>
        </w:tc>
        <w:tc>
          <w:tcPr>
            <w:tcBorders>
              <w:top w:val="single" w:color="auto" w:sz="6" w:space="0"/>
              <w:left w:val="single" w:color="auto" w:sz="6" w:space="0"/>
              <w:bottom w:val="single" w:color="auto" w:sz="6" w:space="0"/>
              <w:right w:val="single" w:color="auto" w:sz="6" w:space="0"/>
            </w:tcBorders>
            <w:tcW w:w="2268" w:type="dxa"/>
            <w:textDirection w:val="lrTb"/>
            <w:noWrap w:val="false"/>
          </w:tcPr>
          <w:p>
            <w:pPr>
              <w:pStyle w:val="955"/>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559" w:type="dxa"/>
            <w:textDirection w:val="lrTb"/>
            <w:noWrap w:val="false"/>
          </w:tcPr>
          <w:p>
            <w:pPr>
              <w:pStyle w:val="955"/>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注册资金</w:t>
            </w:r>
            <w:r/>
          </w:p>
        </w:tc>
        <w:tc>
          <w:tcPr>
            <w:tcBorders>
              <w:top w:val="single" w:color="auto" w:sz="6" w:space="0"/>
              <w:left w:val="single" w:color="auto" w:sz="6" w:space="0"/>
              <w:bottom w:val="single" w:color="auto" w:sz="6" w:space="0"/>
              <w:right w:val="single" w:color="auto" w:sz="6" w:space="0"/>
            </w:tcBorders>
            <w:tcW w:w="2694" w:type="dxa"/>
            <w:textDirection w:val="lrTb"/>
            <w:noWrap w:val="false"/>
          </w:tcPr>
          <w:p>
            <w:pPr>
              <w:pStyle w:val="955"/>
              <w:ind w:firstLine="216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jc w:val="center"/>
          <w:trHeight w:val="492"/>
        </w:trPr>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pStyle w:val="955"/>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521" w:type="dxa"/>
            <w:textDirection w:val="lrTb"/>
            <w:noWrap w:val="false"/>
          </w:tcPr>
          <w:p>
            <w:pPr>
              <w:pStyle w:val="955"/>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jc w:val="center"/>
          <w:trHeight w:val="572"/>
        </w:trPr>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pStyle w:val="955"/>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企业资质等级</w:t>
            </w:r>
            <w:r/>
          </w:p>
        </w:tc>
        <w:tc>
          <w:tcPr>
            <w:tcBorders>
              <w:top w:val="single" w:color="auto" w:sz="6" w:space="0"/>
              <w:left w:val="single" w:color="auto" w:sz="6" w:space="0"/>
              <w:bottom w:val="single" w:color="auto" w:sz="6" w:space="0"/>
              <w:right w:val="single" w:color="auto" w:sz="6" w:space="0"/>
            </w:tcBorders>
            <w:tcW w:w="2268" w:type="dxa"/>
            <w:vAlign w:val="bottom"/>
            <w:textDirection w:val="lrTb"/>
            <w:noWrap w:val="false"/>
          </w:tcPr>
          <w:p>
            <w:pPr>
              <w:pStyle w:val="955"/>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pStyle w:val="955"/>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员工总人数</w:t>
            </w:r>
            <w:r/>
          </w:p>
        </w:tc>
        <w:tc>
          <w:tcPr>
            <w:tcBorders>
              <w:top w:val="single" w:color="auto" w:sz="6" w:space="0"/>
              <w:left w:val="single" w:color="auto" w:sz="6" w:space="0"/>
              <w:bottom w:val="single" w:color="auto" w:sz="6" w:space="0"/>
              <w:right w:val="single" w:color="auto" w:sz="6" w:space="0"/>
            </w:tcBorders>
            <w:tcW w:w="2694" w:type="dxa"/>
            <w:vAlign w:val="bottom"/>
            <w:textDirection w:val="lrTb"/>
            <w:noWrap w:val="false"/>
          </w:tcPr>
          <w:p>
            <w:pPr>
              <w:pStyle w:val="955"/>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jc w:val="center"/>
          <w:trHeight w:val="570"/>
        </w:trPr>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pStyle w:val="955"/>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资产总计</w:t>
            </w:r>
            <w:r/>
          </w:p>
        </w:tc>
        <w:tc>
          <w:tcPr>
            <w:tcBorders>
              <w:top w:val="single" w:color="auto" w:sz="6" w:space="0"/>
              <w:left w:val="single" w:color="auto" w:sz="6" w:space="0"/>
              <w:bottom w:val="single" w:color="auto" w:sz="6" w:space="0"/>
              <w:right w:val="single" w:color="auto" w:sz="6" w:space="0"/>
            </w:tcBorders>
            <w:tcW w:w="2268" w:type="dxa"/>
            <w:vAlign w:val="center"/>
            <w:textDirection w:val="lrTb"/>
            <w:noWrap w:val="false"/>
          </w:tcPr>
          <w:p>
            <w:pPr>
              <w:pStyle w:val="955"/>
              <w:ind w:firstLine="115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万元</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pStyle w:val="955"/>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营业收入</w:t>
            </w:r>
            <w:r/>
          </w:p>
        </w:tc>
        <w:tc>
          <w:tcPr>
            <w:tcBorders>
              <w:top w:val="single" w:color="auto" w:sz="6" w:space="0"/>
              <w:left w:val="single" w:color="auto" w:sz="6" w:space="0"/>
              <w:bottom w:val="single" w:color="auto" w:sz="6" w:space="0"/>
              <w:right w:val="single" w:color="auto" w:sz="6" w:space="0"/>
            </w:tcBorders>
            <w:tcW w:w="2694" w:type="dxa"/>
            <w:vAlign w:val="center"/>
            <w:textDirection w:val="lrTb"/>
            <w:noWrap w:val="false"/>
          </w:tcPr>
          <w:p>
            <w:pPr>
              <w:pStyle w:val="955"/>
              <w:ind w:firstLine="31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年   万元</w:t>
            </w:r>
            <w:r/>
          </w:p>
        </w:tc>
      </w:tr>
      <w:tr>
        <w:trPr>
          <w:cantSplit/>
          <w:jc w:val="center"/>
        </w:trPr>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pStyle w:val="955"/>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实现利润</w:t>
            </w:r>
            <w:r/>
          </w:p>
        </w:tc>
        <w:tc>
          <w:tcPr>
            <w:tcBorders>
              <w:top w:val="single" w:color="auto" w:sz="6" w:space="0"/>
              <w:left w:val="single" w:color="auto" w:sz="6" w:space="0"/>
              <w:bottom w:val="single" w:color="auto" w:sz="6" w:space="0"/>
              <w:right w:val="single" w:color="auto" w:sz="6" w:space="0"/>
            </w:tcBorders>
            <w:tcW w:w="2268" w:type="dxa"/>
            <w:vAlign w:val="center"/>
            <w:textDirection w:val="lrTb"/>
            <w:noWrap w:val="false"/>
          </w:tcPr>
          <w:p>
            <w:pPr>
              <w:pStyle w:val="955"/>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年  万元</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pStyle w:val="955"/>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营业面积（含厂房面积）</w:t>
            </w:r>
            <w:r/>
          </w:p>
        </w:tc>
        <w:tc>
          <w:tcPr>
            <w:tcBorders>
              <w:top w:val="single" w:color="auto" w:sz="6" w:space="0"/>
              <w:left w:val="single" w:color="auto" w:sz="6" w:space="0"/>
              <w:bottom w:val="single" w:color="auto" w:sz="6" w:space="0"/>
              <w:right w:val="single" w:color="auto" w:sz="6" w:space="0"/>
            </w:tcBorders>
            <w:tcW w:w="2694" w:type="dxa"/>
            <w:vAlign w:val="center"/>
            <w:textDirection w:val="lrTb"/>
            <w:noWrap w:val="false"/>
          </w:tcPr>
          <w:p>
            <w:pPr>
              <w:pStyle w:val="955"/>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平方米</w:t>
            </w:r>
            <w:r/>
          </w:p>
        </w:tc>
      </w:tr>
      <w:tr>
        <w:trPr>
          <w:cantSplit/>
          <w:jc w:val="center"/>
          <w:trHeight w:val="597"/>
        </w:trPr>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pStyle w:val="955"/>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6521" w:type="dxa"/>
            <w:textDirection w:val="lrTb"/>
            <w:noWrap w:val="false"/>
          </w:tcPr>
          <w:p>
            <w:pPr>
              <w:pStyle w:val="955"/>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jc w:val="center"/>
          <w:trHeight w:val="578"/>
        </w:trPr>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pStyle w:val="955"/>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6521" w:type="dxa"/>
            <w:textDirection w:val="lrTb"/>
            <w:noWrap w:val="false"/>
          </w:tcPr>
          <w:p>
            <w:pPr>
              <w:pStyle w:val="955"/>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jc w:val="center"/>
          <w:trHeight w:val="681"/>
        </w:trPr>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pStyle w:val="955"/>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商业信誉和健全的财务会计制度介绍</w:t>
            </w:r>
            <w:r/>
          </w:p>
        </w:tc>
        <w:tc>
          <w:tcPr>
            <w:gridSpan w:val="3"/>
            <w:tcBorders>
              <w:top w:val="single" w:color="auto" w:sz="6" w:space="0"/>
              <w:left w:val="single" w:color="auto" w:sz="6" w:space="0"/>
              <w:bottom w:val="single" w:color="auto" w:sz="6" w:space="0"/>
              <w:right w:val="single" w:color="auto" w:sz="6" w:space="0"/>
            </w:tcBorders>
            <w:tcW w:w="6521" w:type="dxa"/>
            <w:textDirection w:val="lrTb"/>
            <w:noWrap w:val="false"/>
          </w:tcPr>
          <w:p>
            <w:pPr>
              <w:pStyle w:val="955"/>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jc w:val="center"/>
          <w:trHeight w:val="851"/>
        </w:trPr>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pStyle w:val="955"/>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履行合同所必需的设备和专业技术能力情况</w:t>
            </w:r>
            <w:r/>
          </w:p>
        </w:tc>
        <w:tc>
          <w:tcPr>
            <w:gridSpan w:val="3"/>
            <w:tcBorders>
              <w:top w:val="single" w:color="auto" w:sz="6" w:space="0"/>
              <w:left w:val="single" w:color="auto" w:sz="6" w:space="0"/>
              <w:bottom w:val="single" w:color="auto" w:sz="6" w:space="0"/>
              <w:right w:val="single" w:color="auto" w:sz="6" w:space="0"/>
            </w:tcBorders>
            <w:tcW w:w="6521" w:type="dxa"/>
            <w:textDirection w:val="lrTb"/>
            <w:noWrap w:val="false"/>
          </w:tcPr>
          <w:p>
            <w:pPr>
              <w:pStyle w:val="955"/>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jc w:val="center"/>
          <w:trHeight w:val="748"/>
        </w:trPr>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pStyle w:val="955"/>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依法缴纳税收和社会保障资金情况</w:t>
            </w:r>
            <w:r/>
          </w:p>
        </w:tc>
        <w:tc>
          <w:tcPr>
            <w:gridSpan w:val="3"/>
            <w:tcBorders>
              <w:top w:val="single" w:color="auto" w:sz="6" w:space="0"/>
              <w:left w:val="single" w:color="auto" w:sz="6" w:space="0"/>
              <w:bottom w:val="single" w:color="auto" w:sz="6" w:space="0"/>
              <w:right w:val="single" w:color="auto" w:sz="6" w:space="0"/>
            </w:tcBorders>
            <w:tcW w:w="6521" w:type="dxa"/>
            <w:textDirection w:val="lrTb"/>
            <w:noWrap w:val="false"/>
          </w:tcPr>
          <w:p>
            <w:pPr>
              <w:pStyle w:val="955"/>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jc w:val="center"/>
          <w:trHeight w:val="1164"/>
        </w:trPr>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pStyle w:val="955"/>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参加政府采购活动前三年内，在经营活动中有无重大违法记录</w:t>
            </w:r>
            <w:r/>
          </w:p>
        </w:tc>
        <w:tc>
          <w:tcPr>
            <w:gridSpan w:val="3"/>
            <w:tcBorders>
              <w:top w:val="single" w:color="auto" w:sz="6" w:space="0"/>
              <w:left w:val="single" w:color="auto" w:sz="6" w:space="0"/>
              <w:bottom w:val="single" w:color="auto" w:sz="6" w:space="0"/>
              <w:right w:val="single" w:color="auto" w:sz="6" w:space="0"/>
            </w:tcBorders>
            <w:tcW w:w="6521" w:type="dxa"/>
            <w:textDirection w:val="lrTb"/>
            <w:noWrap w:val="false"/>
          </w:tcPr>
          <w:p>
            <w:pPr>
              <w:pStyle w:val="955"/>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jc w:val="center"/>
          <w:trHeight w:val="695"/>
        </w:trPr>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pStyle w:val="955"/>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其他需要说明的情况</w:t>
            </w:r>
            <w:r/>
          </w:p>
        </w:tc>
        <w:tc>
          <w:tcPr>
            <w:gridSpan w:val="3"/>
            <w:tcBorders>
              <w:top w:val="single" w:color="auto" w:sz="6" w:space="0"/>
              <w:left w:val="single" w:color="auto" w:sz="6" w:space="0"/>
              <w:bottom w:val="single" w:color="auto" w:sz="6" w:space="0"/>
              <w:right w:val="single" w:color="auto" w:sz="6" w:space="0"/>
            </w:tcBorders>
            <w:tcW w:w="6521" w:type="dxa"/>
            <w:textDirection w:val="lrTb"/>
            <w:noWrap w:val="false"/>
          </w:tcPr>
          <w:p>
            <w:pPr>
              <w:pStyle w:val="955"/>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jc w:val="left"/>
        <w:widowControl/>
        <w:rPr>
          <w:rFonts w:hint="eastAsia" w:asciiTheme="minorEastAsia" w:hAnsiTheme="minorEastAsia" w:eastAsiaTheme="minorEastAsia" w:cstheme="minorEastAsia"/>
          <w:b/>
          <w:bCs/>
          <w:color w:val="auto"/>
          <w:sz w:val="21"/>
          <w:szCs w:val="21"/>
          <w:highlight w:val="none"/>
        </w:rPr>
      </w:pPr>
      <w:r/>
      <w:bookmarkStart w:id="48" w:name="_Toc142194272"/>
      <w:r>
        <w:rPr>
          <w:rFonts w:hint="eastAsia" w:asciiTheme="minorEastAsia" w:hAnsiTheme="minorEastAsia" w:eastAsiaTheme="minorEastAsia" w:cstheme="minorEastAsia"/>
          <w:b/>
          <w:bCs/>
          <w:color w:val="auto"/>
          <w:sz w:val="21"/>
          <w:szCs w:val="21"/>
          <w:highlight w:val="none"/>
        </w:rPr>
        <w:br w:type="page" w:clear="all"/>
      </w:r>
      <w:bookmarkStart w:id="49" w:name="_Toc348784829"/>
      <w:r/>
      <w:bookmarkStart w:id="50" w:name="_Toc382997005"/>
      <w:r/>
      <w:bookmarkStart w:id="51" w:name="_Toc405820181"/>
      <w:r/>
      <w:bookmarkStart w:id="52" w:name="_Toc405820241"/>
      <w:r/>
      <w:bookmarkStart w:id="53" w:name="_Toc405820303"/>
      <w:r/>
      <w:bookmarkStart w:id="54" w:name="_Toc348785015"/>
      <w:r/>
      <w:bookmarkStart w:id="55" w:name="_Toc348785370"/>
      <w:r/>
      <w:bookmarkStart w:id="56" w:name="_Toc405820406"/>
      <w:r/>
      <w:r/>
    </w:p>
    <w:p>
      <w:pPr>
        <w:pStyle w:val="955"/>
        <w:ind w:firstLine="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七、</w:t>
      </w:r>
      <w:bookmarkStart w:id="57" w:name="_Ref392256331"/>
      <w:r>
        <w:rPr>
          <w:rFonts w:hint="eastAsia" w:asciiTheme="minorEastAsia" w:hAnsiTheme="minorEastAsia" w:eastAsiaTheme="minorEastAsia" w:cstheme="minorEastAsia"/>
          <w:b/>
          <w:bCs/>
          <w:color w:val="auto"/>
          <w:sz w:val="21"/>
          <w:szCs w:val="21"/>
          <w:highlight w:val="none"/>
        </w:rPr>
        <w:t xml:space="preserve">项目人员</w:t>
      </w:r>
      <w:bookmarkEnd w:id="57"/>
      <w:r>
        <w:rPr>
          <w:rFonts w:hint="eastAsia" w:asciiTheme="minorEastAsia" w:hAnsiTheme="minorEastAsia" w:eastAsiaTheme="minorEastAsia" w:cstheme="minorEastAsia"/>
          <w:b/>
          <w:bCs/>
          <w:color w:val="auto"/>
          <w:sz w:val="21"/>
          <w:szCs w:val="21"/>
          <w:highlight w:val="none"/>
        </w:rPr>
        <w:t xml:space="preserve">配置表</w:t>
      </w:r>
      <w:r/>
    </w:p>
    <w:p>
      <w:pPr>
        <w:jc w:val="center"/>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项目组人员配备一览表</w:t>
      </w:r>
      <w:r/>
    </w:p>
    <w:tbl>
      <w:tblPr>
        <w:tblStyle w:val="952"/>
        <w:tblW w:w="88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2895"/>
        <w:gridCol w:w="1041"/>
        <w:gridCol w:w="1084"/>
        <w:gridCol w:w="1035"/>
        <w:gridCol w:w="1105"/>
        <w:gridCol w:w="1000"/>
      </w:tblGrid>
      <w:tr>
        <w:trPr>
          <w:trHeight w:val="76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岗位</w:t>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证书</w:t>
            </w:r>
            <w:r/>
          </w:p>
        </w:tc>
      </w:tr>
      <w:tr>
        <w:trPr>
          <w:cantSplit/>
          <w:trHeight w:val="42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2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2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2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2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2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2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2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2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2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2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2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2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投标人：（单位盖章）</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日期：年  月  日</w:t>
      </w:r>
      <w:r/>
    </w:p>
    <w:p>
      <w:pPr>
        <w:jc w:val="left"/>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br w:type="page" w:clear="all"/>
      </w:r>
      <w:r/>
    </w:p>
    <w:p>
      <w:pPr>
        <w:pStyle w:val="975"/>
        <w:jc w:val="left"/>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八、类似业绩一览表</w:t>
      </w:r>
      <w:r/>
    </w:p>
    <w:p>
      <w:pPr>
        <w:jc w:val="cente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jc w:val="center"/>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类似业绩一览表</w:t>
      </w:r>
      <w:r/>
    </w:p>
    <w:tbl>
      <w:tblPr>
        <w:tblStyle w:val="952"/>
        <w:tblW w:w="915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2879"/>
        <w:gridCol w:w="1852"/>
        <w:gridCol w:w="2204"/>
        <w:gridCol w:w="1225"/>
      </w:tblGrid>
      <w:tr>
        <w:trPr>
          <w:cantSplit/>
          <w:jc w:val="center"/>
          <w:trHeight w:val="634"/>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2879"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1852"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采购单位</w:t>
            </w:r>
            <w:r/>
          </w:p>
        </w:tc>
        <w:tc>
          <w:tcPr>
            <w:tcBorders>
              <w:top w:val="single" w:color="auto" w:sz="6" w:space="0"/>
              <w:left w:val="single" w:color="auto" w:sz="6" w:space="0"/>
              <w:bottom w:val="single" w:color="auto" w:sz="6" w:space="0"/>
              <w:right w:val="single" w:color="auto" w:sz="4" w:space="0"/>
            </w:tcBorders>
            <w:tcW w:w="2204"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签订时间</w:t>
            </w:r>
            <w:r/>
          </w:p>
        </w:tc>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备注</w:t>
            </w:r>
            <w:r/>
          </w:p>
        </w:tc>
      </w:tr>
      <w:tr>
        <w:trPr>
          <w:cantSplit/>
          <w:jc w:val="center"/>
          <w:trHeight w:val="528" w:hRule="exact"/>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2879"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852"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2204"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cantSplit/>
          <w:jc w:val="center"/>
          <w:trHeight w:val="528" w:hRule="exact"/>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2879"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852"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2204"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cantSplit/>
          <w:jc w:val="center"/>
          <w:trHeight w:val="528" w:hRule="exact"/>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2879"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852"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2204"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cantSplit/>
          <w:jc w:val="center"/>
          <w:trHeight w:val="528" w:hRule="exact"/>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2879"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852"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2204"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cantSplit/>
          <w:jc w:val="center"/>
          <w:trHeight w:val="528" w:hRule="exact"/>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2879"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852"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2204"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cantSplit/>
          <w:jc w:val="center"/>
          <w:trHeight w:val="528" w:hRule="exact"/>
        </w:trPr>
        <w:tc>
          <w:tcPr>
            <w:tcBorders>
              <w:top w:val="single" w:color="auto" w:sz="6" w:space="0"/>
              <w:left w:val="single" w:color="auto" w:sz="6" w:space="0"/>
              <w:bottom w:val="single" w:color="auto" w:sz="6" w:space="0"/>
              <w:right w:val="single" w:color="auto" w:sz="6" w:space="0"/>
            </w:tcBorders>
            <w:tcW w:w="993" w:type="dxa"/>
            <w:vAlign w:val="center"/>
            <w:textDirection w:val="tbRlV"/>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879"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852"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2204"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cantSplit/>
          <w:jc w:val="center"/>
          <w:trHeight w:val="528" w:hRule="exact"/>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879"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852"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2204"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cantSplit/>
          <w:jc w:val="center"/>
          <w:trHeight w:val="528" w:hRule="exact"/>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879"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852"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2204"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cantSplit/>
          <w:jc w:val="center"/>
          <w:trHeight w:val="528" w:hRule="exact"/>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879"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852"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2204"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cantSplit/>
          <w:jc w:val="center"/>
          <w:trHeight w:val="528" w:hRule="exact"/>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879"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852"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2204"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bl>
    <w:p>
      <w:pPr>
        <w:jc w:val="cente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ind w:firstLine="420"/>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注：投标人应提供双方签订合同的复印件并加盖投标人公章（公章），否则将不作为评标的依据。</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979"/>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投标人：（盖章）</w:t>
      </w:r>
      <w:r/>
    </w:p>
    <w:p>
      <w:pPr>
        <w:pStyle w:val="979"/>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pStyle w:val="960"/>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日期：年 月 日</w:t>
      </w:r>
      <w:r/>
    </w:p>
    <w:p>
      <w:pPr>
        <w:pStyle w:val="975"/>
        <w:jc w:val="left"/>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bookmarkEnd w:id="49"/>
      <w:r/>
      <w:bookmarkEnd w:id="50"/>
      <w:r/>
      <w:bookmarkEnd w:id="51"/>
      <w:r/>
      <w:bookmarkEnd w:id="52"/>
      <w:r/>
      <w:bookmarkEnd w:id="53"/>
      <w:r/>
      <w:bookmarkEnd w:id="54"/>
      <w:r/>
      <w:bookmarkEnd w:id="55"/>
      <w:r/>
      <w:bookmarkEnd w:id="56"/>
      <w:r/>
      <w:bookmarkStart w:id="58" w:name="_Toc405820242"/>
      <w:r/>
      <w:bookmarkStart w:id="59" w:name="_Toc405820304"/>
      <w:r/>
      <w:bookmarkStart w:id="60" w:name="_Toc405820182"/>
      <w:r/>
      <w:bookmarkStart w:id="61" w:name="_Toc382997006"/>
      <w:r/>
      <w:bookmarkStart w:id="62" w:name="_Toc348785371"/>
      <w:r/>
      <w:bookmarkStart w:id="63" w:name="_Toc142194271"/>
      <w:r/>
      <w:bookmarkStart w:id="64" w:name="_Toc405820979"/>
      <w:r/>
      <w:bookmarkStart w:id="65" w:name="_Toc348785016"/>
      <w:r/>
      <w:bookmarkStart w:id="66" w:name="_Toc13889376"/>
      <w:r/>
      <w:bookmarkStart w:id="67" w:name="_Toc405820407"/>
      <w:r/>
      <w:bookmarkStart w:id="68" w:name="_Toc348784830"/>
      <w:r>
        <w:rPr>
          <w:rFonts w:hint="eastAsia" w:asciiTheme="minorEastAsia" w:hAnsiTheme="minorEastAsia" w:eastAsiaTheme="minorEastAsia" w:cstheme="minorEastAsia"/>
          <w:b/>
          <w:color w:val="auto"/>
          <w:sz w:val="21"/>
          <w:szCs w:val="21"/>
          <w:highlight w:val="none"/>
        </w:rPr>
        <w:t xml:space="preserve">九、中小企业声明函</w:t>
      </w:r>
      <w:bookmarkEnd w:id="58"/>
      <w:r/>
      <w:bookmarkEnd w:id="59"/>
      <w:r/>
      <w:bookmarkEnd w:id="60"/>
      <w:r/>
      <w:bookmarkEnd w:id="61"/>
      <w:r/>
      <w:bookmarkEnd w:id="62"/>
      <w:r/>
      <w:bookmarkEnd w:id="63"/>
      <w:r/>
      <w:bookmarkEnd w:id="64"/>
      <w:r/>
      <w:bookmarkEnd w:id="65"/>
      <w:r/>
      <w:bookmarkEnd w:id="66"/>
      <w:r/>
      <w:bookmarkEnd w:id="67"/>
      <w:r/>
      <w:bookmarkEnd w:id="68"/>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中小微企业声明函（服务类项目）（采购包号：**）</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采购编号为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采购编号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项目</w:t>
      </w:r>
      <w:r>
        <w:rPr>
          <w:rFonts w:hint="eastAsia" w:ascii="宋体" w:hAnsi="宋体" w:eastAsia="宋体" w:cs="宋体"/>
          <w:color w:val="auto"/>
          <w:sz w:val="21"/>
          <w:szCs w:val="21"/>
          <w:highlight w:val="none"/>
          <w:u w:val="none"/>
        </w:rPr>
        <w:t xml:space="preserve">（项目名称）（采购包号：**）</w:t>
      </w:r>
      <w:r>
        <w:rPr>
          <w:rFonts w:hint="eastAsia" w:ascii="宋体" w:hAnsi="宋体" w:eastAsia="宋体" w:cs="宋体"/>
          <w:color w:val="auto"/>
          <w:sz w:val="21"/>
          <w:szCs w:val="21"/>
          <w:highlight w:val="none"/>
        </w:rPr>
        <w:t xml:space="preserve">的采购活动，服务全部由符合政策的中小微企业承接。相关企业（含联合体中的中小微企业、签订采购包意向协议的中小微企业）的具体情况如下：</w:t>
      </w:r>
      <w:r/>
    </w:p>
    <w:p>
      <w:pPr>
        <w:ind w:firstLine="315"/>
        <w:spacing w:line="360" w:lineRule="auto"/>
        <w:rPr>
          <w:rFonts w:hint="eastAsia" w:ascii="宋体" w:hAnsi="宋体" w:eastAsia="宋体" w:cs="宋体"/>
          <w:i/>
          <w:color w:val="auto"/>
          <w:sz w:val="21"/>
          <w:szCs w:val="21"/>
          <w:highlight w:val="none"/>
          <w:u w:val="singl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（供应商填写招标文件中明确的所属行业）</w:t>
      </w:r>
      <w:r>
        <w:rPr>
          <w:rFonts w:hint="eastAsia" w:ascii="宋体" w:hAnsi="宋体" w:eastAsia="宋体" w:cs="宋体"/>
          <w:color w:val="auto"/>
          <w:sz w:val="21"/>
          <w:szCs w:val="21"/>
          <w:highlight w:val="none"/>
        </w:rPr>
        <w:t xml:space="preserve">行业；承接企业为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vertAlign w:val="superscript"/>
        </w:rPr>
        <w:t xml:space="preserve">1</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（□中型企业 □小型企业 □微型企业）；</w:t>
      </w:r>
      <w:r/>
    </w:p>
    <w:p>
      <w:pPr>
        <w:ind w:firstLine="315"/>
        <w:spacing w:line="360" w:lineRule="auto"/>
        <w:rPr>
          <w:rFonts w:hint="eastAsia" w:ascii="宋体" w:hAnsi="宋体" w:eastAsia="宋体" w:cs="宋体"/>
          <w:i/>
          <w:color w:val="auto"/>
          <w:sz w:val="21"/>
          <w:szCs w:val="21"/>
          <w:highlight w:val="none"/>
          <w:u w:val="singl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（供应商填写招标文件中明确的所属行业）</w:t>
      </w:r>
      <w:r>
        <w:rPr>
          <w:rFonts w:hint="eastAsia" w:ascii="宋体" w:hAnsi="宋体" w:eastAsia="宋体" w:cs="宋体"/>
          <w:color w:val="auto"/>
          <w:sz w:val="21"/>
          <w:szCs w:val="21"/>
          <w:highlight w:val="none"/>
        </w:rPr>
        <w:t xml:space="preserve">行业；承接企业为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vertAlign w:val="superscript"/>
        </w:rPr>
        <w:t xml:space="preserve">1</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（□中型企业 □小型企业 □微型企业）；</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right="7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180" w:firstLine="31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企业名称（加盖CA电子公章）：</w:t>
      </w:r>
      <w:r/>
    </w:p>
    <w:p>
      <w:pPr>
        <w:ind w:right="180" w:firstLine="31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                               </w:t>
      </w:r>
      <w:r>
        <w:rPr>
          <w:rFonts w:hint="eastAsia" w:ascii="宋体" w:hAnsi="宋体" w:eastAsia="宋体" w:cs="宋体"/>
          <w:i w:val="0"/>
          <w:iCs w:val="0"/>
          <w:caps w:val="0"/>
          <w:color w:val="auto"/>
          <w:spacing w:val="0"/>
          <w:sz w:val="21"/>
          <w:szCs w:val="21"/>
          <w:highlight w:val="none"/>
          <w:shd w:val="clear" w:color="auto" w:fill="ffffff"/>
        </w:rPr>
        <w:t xml:space="preserve">日期：___年____月____日 </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1.从业人员、营业收入、资产总额填报上一年度数据，无上一年度数据的新成立企业可不填报。</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pStyle w:val="975"/>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p>
    <w:p>
      <w:pPr>
        <w:spacing w:line="280" w:lineRule="exact"/>
        <w:shd w:val="clear" w:color="auto"/>
        <w:rPr>
          <w:rFonts w:hint="eastAsia" w:ascii="宋体" w:hAnsi="宋体" w:eastAsia="宋体" w:cs="宋体"/>
          <w:b/>
          <w:color w:val="auto"/>
          <w:sz w:val="20"/>
          <w:highlight w:val="none"/>
        </w:rPr>
      </w:pPr>
      <w:r>
        <w:rPr>
          <w:rFonts w:hint="eastAsia" w:ascii="宋体" w:hAnsi="宋体" w:eastAsia="宋体" w:cs="宋体"/>
          <w:b/>
          <w:color w:val="auto"/>
          <w:sz w:val="20"/>
          <w:highlight w:val="none"/>
        </w:rPr>
        <w:t xml:space="preserve">附：中小企业划型标准规定</w:t>
      </w:r>
      <w:r/>
    </w:p>
    <w:p>
      <w:pPr>
        <w:ind w:firstLine="402"/>
        <w:spacing w:line="280" w:lineRule="exact"/>
        <w:shd w:val="clear" w:color="auto"/>
        <w:rPr>
          <w:rFonts w:hint="eastAsia" w:ascii="宋体" w:hAnsi="宋体" w:eastAsia="宋体" w:cs="宋体"/>
          <w:color w:val="auto"/>
          <w:sz w:val="20"/>
          <w:highlight w:val="none"/>
        </w:rPr>
      </w:pPr>
      <w:r>
        <w:rPr>
          <w:rFonts w:hint="eastAsia" w:ascii="宋体" w:hAnsi="宋体" w:eastAsia="宋体" w:cs="宋体"/>
          <w:b/>
          <w:color w:val="auto"/>
          <w:sz w:val="20"/>
          <w:highlight w:val="none"/>
        </w:rPr>
        <w:t xml:space="preserve">（一）农、林、牧、渔业。</w:t>
      </w:r>
      <w:r>
        <w:rPr>
          <w:rFonts w:hint="eastAsia" w:ascii="宋体" w:hAnsi="宋体" w:eastAsia="宋体" w:cs="宋体"/>
          <w:color w:val="auto"/>
          <w:sz w:val="20"/>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shd w:val="clear" w:color="auto"/>
        <w:rPr>
          <w:rFonts w:hint="eastAsia" w:ascii="宋体" w:hAnsi="宋体" w:eastAsia="宋体" w:cs="宋体"/>
          <w:color w:val="auto"/>
          <w:sz w:val="20"/>
          <w:highlight w:val="none"/>
        </w:rPr>
      </w:pPr>
      <w:r>
        <w:rPr>
          <w:rFonts w:hint="eastAsia" w:ascii="宋体" w:hAnsi="宋体" w:eastAsia="宋体" w:cs="宋体"/>
          <w:b/>
          <w:color w:val="auto"/>
          <w:sz w:val="20"/>
          <w:highlight w:val="none"/>
        </w:rPr>
        <w:t xml:space="preserve">（二）工业。</w:t>
      </w:r>
      <w:r>
        <w:rPr>
          <w:rFonts w:hint="eastAsia" w:ascii="宋体" w:hAnsi="宋体" w:eastAsia="宋体" w:cs="宋体"/>
          <w:color w:val="auto"/>
          <w:sz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shd w:val="clear" w:color="auto"/>
        <w:rPr>
          <w:rFonts w:hint="eastAsia" w:ascii="宋体" w:hAnsi="宋体" w:eastAsia="宋体" w:cs="宋体"/>
          <w:color w:val="auto"/>
          <w:sz w:val="20"/>
          <w:highlight w:val="none"/>
        </w:rPr>
      </w:pPr>
      <w:r>
        <w:rPr>
          <w:rFonts w:hint="eastAsia" w:ascii="宋体" w:hAnsi="宋体" w:eastAsia="宋体" w:cs="宋体"/>
          <w:b/>
          <w:color w:val="auto"/>
          <w:sz w:val="20"/>
          <w:highlight w:val="none"/>
        </w:rPr>
        <w:t xml:space="preserve">（三）建筑业。</w:t>
      </w:r>
      <w:r>
        <w:rPr>
          <w:rFonts w:hint="eastAsia" w:ascii="宋体" w:hAnsi="宋体" w:eastAsia="宋体" w:cs="宋体"/>
          <w:color w:val="auto"/>
          <w:sz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shd w:val="clear" w:color="auto"/>
        <w:rPr>
          <w:rFonts w:hint="eastAsia" w:ascii="宋体" w:hAnsi="宋体" w:eastAsia="宋体" w:cs="宋体"/>
          <w:color w:val="auto"/>
          <w:sz w:val="20"/>
          <w:highlight w:val="none"/>
        </w:rPr>
      </w:pPr>
      <w:r>
        <w:rPr>
          <w:rFonts w:hint="eastAsia" w:ascii="宋体" w:hAnsi="宋体" w:eastAsia="宋体" w:cs="宋体"/>
          <w:b/>
          <w:color w:val="auto"/>
          <w:sz w:val="20"/>
          <w:highlight w:val="none"/>
        </w:rPr>
        <w:t xml:space="preserve">（四）批发业。</w:t>
      </w:r>
      <w:r>
        <w:rPr>
          <w:rFonts w:hint="eastAsia" w:ascii="宋体" w:hAnsi="宋体" w:eastAsia="宋体" w:cs="宋体"/>
          <w:color w:val="auto"/>
          <w:sz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shd w:val="clear" w:color="auto"/>
        <w:rPr>
          <w:rFonts w:hint="eastAsia" w:ascii="宋体" w:hAnsi="宋体" w:eastAsia="宋体" w:cs="宋体"/>
          <w:color w:val="auto"/>
          <w:sz w:val="20"/>
          <w:highlight w:val="none"/>
        </w:rPr>
      </w:pPr>
      <w:r>
        <w:rPr>
          <w:rFonts w:hint="eastAsia" w:ascii="宋体" w:hAnsi="宋体" w:eastAsia="宋体" w:cs="宋体"/>
          <w:b/>
          <w:color w:val="auto"/>
          <w:sz w:val="20"/>
          <w:highlight w:val="none"/>
        </w:rPr>
        <w:t xml:space="preserve">（五）零售业。</w:t>
      </w:r>
      <w:r>
        <w:rPr>
          <w:rFonts w:hint="eastAsia" w:ascii="宋体" w:hAnsi="宋体" w:eastAsia="宋体" w:cs="宋体"/>
          <w:color w:val="auto"/>
          <w:sz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shd w:val="clear" w:color="auto"/>
        <w:rPr>
          <w:rFonts w:hint="eastAsia" w:ascii="宋体" w:hAnsi="宋体" w:eastAsia="宋体" w:cs="宋体"/>
          <w:color w:val="auto"/>
          <w:sz w:val="20"/>
          <w:highlight w:val="none"/>
        </w:rPr>
      </w:pPr>
      <w:r>
        <w:rPr>
          <w:rFonts w:hint="eastAsia" w:ascii="宋体" w:hAnsi="宋体" w:eastAsia="宋体" w:cs="宋体"/>
          <w:b/>
          <w:color w:val="auto"/>
          <w:sz w:val="20"/>
          <w:highlight w:val="none"/>
        </w:rPr>
        <w:t xml:space="preserve">（六）交通运输业。</w:t>
      </w:r>
      <w:r>
        <w:rPr>
          <w:rFonts w:hint="eastAsia" w:ascii="宋体" w:hAnsi="宋体" w:eastAsia="宋体" w:cs="宋体"/>
          <w:color w:val="auto"/>
          <w:sz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shd w:val="clear" w:color="auto"/>
        <w:rPr>
          <w:rFonts w:hint="eastAsia" w:ascii="宋体" w:hAnsi="宋体" w:eastAsia="宋体" w:cs="宋体"/>
          <w:color w:val="auto"/>
          <w:sz w:val="20"/>
          <w:highlight w:val="none"/>
        </w:rPr>
      </w:pPr>
      <w:r>
        <w:rPr>
          <w:rFonts w:hint="eastAsia" w:ascii="宋体" w:hAnsi="宋体" w:eastAsia="宋体" w:cs="宋体"/>
          <w:b/>
          <w:color w:val="auto"/>
          <w:sz w:val="20"/>
          <w:highlight w:val="none"/>
        </w:rPr>
        <w:t xml:space="preserve">（七）仓储业。</w:t>
      </w:r>
      <w:r>
        <w:rPr>
          <w:rFonts w:hint="eastAsia" w:ascii="宋体" w:hAnsi="宋体" w:eastAsia="宋体" w:cs="宋体"/>
          <w:color w:val="auto"/>
          <w:sz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shd w:val="clear" w:color="auto"/>
        <w:rPr>
          <w:rFonts w:hint="eastAsia" w:ascii="宋体" w:hAnsi="宋体" w:eastAsia="宋体" w:cs="宋体"/>
          <w:color w:val="auto"/>
          <w:sz w:val="20"/>
          <w:highlight w:val="none"/>
        </w:rPr>
      </w:pPr>
      <w:r>
        <w:rPr>
          <w:rFonts w:hint="eastAsia" w:ascii="宋体" w:hAnsi="宋体" w:eastAsia="宋体" w:cs="宋体"/>
          <w:b/>
          <w:color w:val="auto"/>
          <w:sz w:val="20"/>
          <w:highlight w:val="none"/>
        </w:rPr>
        <w:t xml:space="preserve">（八）邮政业。</w:t>
      </w:r>
      <w:r>
        <w:rPr>
          <w:rFonts w:hint="eastAsia" w:ascii="宋体" w:hAnsi="宋体" w:eastAsia="宋体" w:cs="宋体"/>
          <w:color w:val="auto"/>
          <w:sz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shd w:val="clear" w:color="auto"/>
        <w:rPr>
          <w:rFonts w:hint="eastAsia" w:ascii="宋体" w:hAnsi="宋体" w:eastAsia="宋体" w:cs="宋体"/>
          <w:color w:val="auto"/>
          <w:sz w:val="20"/>
          <w:highlight w:val="none"/>
        </w:rPr>
      </w:pPr>
      <w:r>
        <w:rPr>
          <w:rFonts w:hint="eastAsia" w:ascii="宋体" w:hAnsi="宋体" w:eastAsia="宋体" w:cs="宋体"/>
          <w:b/>
          <w:color w:val="auto"/>
          <w:sz w:val="20"/>
          <w:highlight w:val="none"/>
        </w:rPr>
        <w:t xml:space="preserve">（九）住宿业。</w:t>
      </w:r>
      <w:r>
        <w:rPr>
          <w:rFonts w:hint="eastAsia" w:ascii="宋体" w:hAnsi="宋体" w:eastAsia="宋体" w:cs="宋体"/>
          <w:color w:val="auto"/>
          <w:sz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shd w:val="clear" w:color="auto"/>
        <w:rPr>
          <w:rFonts w:hint="eastAsia" w:ascii="宋体" w:hAnsi="宋体" w:eastAsia="宋体" w:cs="宋体"/>
          <w:color w:val="auto"/>
          <w:sz w:val="20"/>
          <w:highlight w:val="none"/>
        </w:rPr>
      </w:pPr>
      <w:r>
        <w:rPr>
          <w:rFonts w:hint="eastAsia" w:ascii="宋体" w:hAnsi="宋体" w:eastAsia="宋体" w:cs="宋体"/>
          <w:b/>
          <w:color w:val="auto"/>
          <w:sz w:val="20"/>
          <w:highlight w:val="none"/>
        </w:rPr>
        <w:t xml:space="preserve">（十）餐饮业。</w:t>
      </w:r>
      <w:r>
        <w:rPr>
          <w:rFonts w:hint="eastAsia" w:ascii="宋体" w:hAnsi="宋体" w:eastAsia="宋体" w:cs="宋体"/>
          <w:color w:val="auto"/>
          <w:sz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shd w:val="clear" w:color="auto"/>
        <w:rPr>
          <w:rFonts w:hint="eastAsia" w:ascii="宋体" w:hAnsi="宋体" w:eastAsia="宋体" w:cs="宋体"/>
          <w:color w:val="auto"/>
          <w:sz w:val="20"/>
          <w:highlight w:val="none"/>
        </w:rPr>
      </w:pPr>
      <w:r>
        <w:rPr>
          <w:rFonts w:hint="eastAsia" w:ascii="宋体" w:hAnsi="宋体" w:eastAsia="宋体" w:cs="宋体"/>
          <w:b/>
          <w:color w:val="auto"/>
          <w:sz w:val="20"/>
          <w:highlight w:val="none"/>
        </w:rPr>
        <w:t xml:space="preserve">（十一）信息传输业。</w:t>
      </w:r>
      <w:r>
        <w:rPr>
          <w:rFonts w:hint="eastAsia" w:ascii="宋体" w:hAnsi="宋体" w:eastAsia="宋体" w:cs="宋体"/>
          <w:color w:val="auto"/>
          <w:sz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shd w:val="clear" w:color="auto"/>
        <w:rPr>
          <w:rFonts w:hint="eastAsia" w:ascii="宋体" w:hAnsi="宋体" w:eastAsia="宋体" w:cs="宋体"/>
          <w:color w:val="auto"/>
          <w:sz w:val="20"/>
          <w:highlight w:val="none"/>
        </w:rPr>
      </w:pPr>
      <w:r>
        <w:rPr>
          <w:rFonts w:hint="eastAsia" w:ascii="宋体" w:hAnsi="宋体" w:eastAsia="宋体" w:cs="宋体"/>
          <w:b/>
          <w:color w:val="auto"/>
          <w:sz w:val="20"/>
          <w:highlight w:val="none"/>
        </w:rPr>
        <w:t xml:space="preserve">（十二）软件和信息技术服务业。</w:t>
      </w:r>
      <w:r>
        <w:rPr>
          <w:rFonts w:hint="eastAsia" w:ascii="宋体" w:hAnsi="宋体" w:eastAsia="宋体" w:cs="宋体"/>
          <w:color w:val="auto"/>
          <w:sz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shd w:val="clear" w:color="auto"/>
        <w:rPr>
          <w:rFonts w:hint="eastAsia" w:ascii="宋体" w:hAnsi="宋体" w:eastAsia="宋体" w:cs="宋体"/>
          <w:color w:val="auto"/>
          <w:sz w:val="20"/>
          <w:highlight w:val="none"/>
        </w:rPr>
      </w:pPr>
      <w:r>
        <w:rPr>
          <w:rFonts w:hint="eastAsia" w:ascii="宋体" w:hAnsi="宋体" w:eastAsia="宋体" w:cs="宋体"/>
          <w:b/>
          <w:color w:val="auto"/>
          <w:sz w:val="20"/>
          <w:highlight w:val="none"/>
        </w:rPr>
        <w:t xml:space="preserve">（十三）房地产开发经营。</w:t>
      </w:r>
      <w:r>
        <w:rPr>
          <w:rFonts w:hint="eastAsia" w:ascii="宋体" w:hAnsi="宋体" w:eastAsia="宋体" w:cs="宋体"/>
          <w:color w:val="auto"/>
          <w:sz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shd w:val="clear" w:color="auto"/>
        <w:rPr>
          <w:rFonts w:hint="eastAsia" w:ascii="宋体" w:hAnsi="宋体" w:eastAsia="宋体" w:cs="宋体"/>
          <w:color w:val="auto"/>
          <w:sz w:val="20"/>
          <w:highlight w:val="none"/>
        </w:rPr>
      </w:pPr>
      <w:r>
        <w:rPr>
          <w:rFonts w:hint="eastAsia" w:ascii="宋体" w:hAnsi="宋体" w:eastAsia="宋体" w:cs="宋体"/>
          <w:b/>
          <w:color w:val="auto"/>
          <w:sz w:val="20"/>
          <w:highlight w:val="none"/>
        </w:rPr>
        <w:t xml:space="preserve">（十四）物业管理。</w:t>
      </w:r>
      <w:r>
        <w:rPr>
          <w:rFonts w:hint="eastAsia" w:ascii="宋体" w:hAnsi="宋体" w:eastAsia="宋体" w:cs="宋体"/>
          <w:color w:val="auto"/>
          <w:sz w:val="20"/>
          <w:highlight w:val="none"/>
        </w:rPr>
        <w:t xml:space="preserve">从业人员1000人以下或营业收入5000万元以下的为中小微型企业。其中，从业人员</w:t>
      </w:r>
      <w:r/>
    </w:p>
    <w:p>
      <w:pPr>
        <w:spacing w:line="280" w:lineRule="exact"/>
        <w:shd w:val="clear" w:color="auto"/>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shd w:val="clear" w:color="auto"/>
        <w:rPr>
          <w:rFonts w:hint="eastAsia" w:ascii="宋体" w:hAnsi="宋体" w:eastAsia="宋体" w:cs="宋体"/>
          <w:color w:val="auto"/>
          <w:sz w:val="20"/>
          <w:highlight w:val="none"/>
        </w:rPr>
      </w:pPr>
      <w:r>
        <w:rPr>
          <w:rFonts w:hint="eastAsia" w:ascii="宋体" w:hAnsi="宋体" w:eastAsia="宋体" w:cs="宋体"/>
          <w:b/>
          <w:color w:val="auto"/>
          <w:sz w:val="20"/>
          <w:highlight w:val="none"/>
        </w:rPr>
        <w:t xml:space="preserve">（十五）租赁和商务服务业。</w:t>
      </w:r>
      <w:r>
        <w:rPr>
          <w:rFonts w:hint="eastAsia" w:ascii="宋体" w:hAnsi="宋体" w:eastAsia="宋体" w:cs="宋体"/>
          <w:color w:val="auto"/>
          <w:sz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shd w:val="clear" w:color="auto"/>
        <w:rPr>
          <w:rFonts w:hint="eastAsia" w:ascii="宋体" w:hAnsi="宋体" w:eastAsia="宋体" w:cs="宋体"/>
          <w:color w:val="auto"/>
          <w:sz w:val="20"/>
          <w:highlight w:val="none"/>
        </w:rPr>
      </w:pPr>
      <w:r>
        <w:rPr>
          <w:rFonts w:hint="eastAsia" w:ascii="宋体" w:hAnsi="宋体" w:eastAsia="宋体" w:cs="宋体"/>
          <w:b/>
          <w:color w:val="auto"/>
          <w:sz w:val="20"/>
          <w:highlight w:val="none"/>
        </w:rPr>
        <w:t xml:space="preserve">（十六）其他未列明行业。</w:t>
      </w:r>
      <w:r>
        <w:rPr>
          <w:rFonts w:hint="eastAsia" w:ascii="宋体" w:hAnsi="宋体" w:eastAsia="宋体" w:cs="宋体"/>
          <w:color w:val="auto"/>
          <w:sz w:val="20"/>
          <w:highlight w:val="none"/>
        </w:rPr>
        <w:t xml:space="preserve">从业人员300人以下的为中小微型企业。其中，从业人员100人及以上的为中型企业；从业人员10人及以上的为小型企业；从业人员10人以下的为微型企业。</w:t>
      </w:r>
      <w:r/>
    </w:p>
    <w:p>
      <w:pPr>
        <w:pStyle w:val="975"/>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975"/>
        <w:jc w:val="left"/>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pStyle w:val="975"/>
        <w:jc w:val="left"/>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十、残疾人福利性单位声明函</w:t>
      </w:r>
      <w:r/>
    </w:p>
    <w:p>
      <w:pPr>
        <w:jc w:val="left"/>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jc w:val="left"/>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jc w:val="center"/>
        <w:spacing w:line="360" w:lineRule="auto"/>
        <w:rPr>
          <w:rFonts w:hint="eastAsia" w:asciiTheme="minorEastAsia" w:hAnsiTheme="minorEastAsia" w:eastAsiaTheme="minorEastAsia" w:cstheme="minorEastAsia"/>
          <w:color w:val="auto"/>
          <w:sz w:val="24"/>
          <w:szCs w:val="24"/>
          <w:highlight w:val="none"/>
          <w:u w:val="single"/>
          <w:lang w:val="zh-CN"/>
        </w:rPr>
      </w:pPr>
      <w:r>
        <w:rPr>
          <w:rFonts w:hint="eastAsia" w:asciiTheme="minorEastAsia" w:hAnsiTheme="minorEastAsia" w:eastAsiaTheme="minorEastAsia" w:cstheme="minorEastAsia"/>
          <w:b/>
          <w:color w:val="auto"/>
          <w:sz w:val="24"/>
          <w:szCs w:val="24"/>
          <w:highlight w:val="none"/>
          <w:lang w:val="zh-CN"/>
        </w:rPr>
        <w:t xml:space="preserve">残疾人福利性单位声明函</w:t>
      </w:r>
      <w:r/>
    </w:p>
    <w:p>
      <w:pPr>
        <w:jc w:val="center"/>
        <w:spacing w:line="360" w:lineRule="auto"/>
        <w:rPr>
          <w:rFonts w:hint="eastAsia" w:asciiTheme="minorEastAsia" w:hAnsiTheme="minorEastAsia" w:eastAsiaTheme="minorEastAsia" w:cstheme="minorEastAsia"/>
          <w:color w:val="auto"/>
          <w:sz w:val="24"/>
          <w:szCs w:val="24"/>
          <w:highlight w:val="none"/>
          <w:u w:val="single"/>
          <w:lang w:val="zh-CN"/>
        </w:rPr>
      </w:pPr>
      <w:r>
        <w:rPr>
          <w:rFonts w:hint="eastAsia" w:asciiTheme="minorEastAsia" w:hAnsiTheme="minorEastAsia" w:eastAsiaTheme="minorEastAsia" w:cstheme="minorEastAsia"/>
          <w:color w:val="auto"/>
          <w:sz w:val="24"/>
          <w:szCs w:val="24"/>
          <w:highlight w:val="none"/>
          <w:u w:val="single"/>
          <w:lang w:val="zh-CN"/>
        </w:rPr>
      </w:r>
      <w:r/>
    </w:p>
    <w:p>
      <w:pPr>
        <w:spacing w:line="360" w:lineRule="auto"/>
        <w:rPr>
          <w:rFonts w:hint="eastAsia" w:asciiTheme="minorEastAsia" w:hAnsiTheme="minorEastAsia" w:eastAsiaTheme="minorEastAsia" w:cstheme="minorEastAsia"/>
          <w:color w:val="auto"/>
          <w:sz w:val="21"/>
          <w:szCs w:val="24"/>
          <w:highlight w:val="none"/>
          <w:lang w:val="zh-CN"/>
        </w:rPr>
      </w:pPr>
      <w:r>
        <w:rPr>
          <w:rFonts w:hint="eastAsia" w:asciiTheme="minorEastAsia" w:hAnsiTheme="minorEastAsia" w:eastAsiaTheme="minorEastAsia" w:cstheme="minorEastAsia"/>
          <w:color w:val="auto"/>
          <w:sz w:val="21"/>
          <w:szCs w:val="24"/>
          <w:highlight w:val="none"/>
          <w:u w:val="single"/>
          <w:lang w:val="zh-CN"/>
        </w:rPr>
        <w:t xml:space="preserve">江苏苏维工程管理有限公司</w:t>
      </w:r>
      <w:r>
        <w:rPr>
          <w:rFonts w:hint="eastAsia" w:asciiTheme="minorEastAsia" w:hAnsiTheme="minorEastAsia" w:eastAsiaTheme="minorEastAsia" w:cstheme="minorEastAsia"/>
          <w:color w:val="auto"/>
          <w:sz w:val="21"/>
          <w:szCs w:val="24"/>
          <w:highlight w:val="none"/>
          <w:lang w:val="zh-CN"/>
        </w:rPr>
        <w:t xml:space="preserve">：</w:t>
      </w:r>
      <w:r/>
    </w:p>
    <w:p>
      <w:pPr>
        <w:jc w:val="left"/>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本单位对上述声明的真实性负责。如有虚假，将依法承担相应责任。</w:t>
      </w:r>
      <w:r/>
    </w:p>
    <w:p>
      <w:pPr>
        <w:ind w:firstLine="420"/>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p>
      <w:pPr>
        <w:ind w:firstLine="420"/>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投标人：（盖章）</w:t>
      </w:r>
      <w:r/>
    </w:p>
    <w:p>
      <w:pPr>
        <w:pStyle w:val="975"/>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日期：年 月 日</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975"/>
        <w:jc w:val="left"/>
        <w:spacing w:line="360" w:lineRule="auto"/>
        <w:rPr>
          <w:rFonts w:hint="eastAsia" w:asciiTheme="minorEastAsia" w:hAnsiTheme="minorEastAsia" w:eastAsiaTheme="minorEastAsia" w:cstheme="minorEastAsia"/>
          <w:b/>
          <w:color w:val="auto"/>
          <w:sz w:val="21"/>
          <w:szCs w:val="21"/>
          <w:highlight w:val="none"/>
        </w:rPr>
      </w:pPr>
      <w:r/>
      <w:bookmarkStart w:id="69" w:name="_Toc35951274"/>
      <w:r>
        <w:rPr>
          <w:rFonts w:hint="eastAsia" w:asciiTheme="minorEastAsia" w:hAnsiTheme="minorEastAsia" w:eastAsiaTheme="minorEastAsia" w:cstheme="minorEastAsia"/>
          <w:b/>
          <w:color w:val="auto"/>
          <w:sz w:val="21"/>
          <w:szCs w:val="21"/>
          <w:highlight w:val="none"/>
        </w:rPr>
        <w:br w:type="page" w:clear="all"/>
      </w:r>
      <w:r>
        <w:rPr>
          <w:rFonts w:hint="eastAsia" w:asciiTheme="minorEastAsia" w:hAnsiTheme="minorEastAsia" w:eastAsiaTheme="minorEastAsia" w:cstheme="minorEastAsia"/>
          <w:b/>
          <w:color w:val="auto"/>
          <w:sz w:val="21"/>
          <w:szCs w:val="21"/>
          <w:highlight w:val="none"/>
        </w:rPr>
        <w:t xml:space="preserve">十一、投标保证承诺书</w:t>
      </w:r>
      <w:r/>
    </w:p>
    <w:p>
      <w:pPr>
        <w:spacing w:line="333" w:lineRule="atLeast"/>
        <w:rPr>
          <w:rFonts w:hint="eastAsia" w:asciiTheme="minorEastAsia" w:hAnsiTheme="minorEastAsia" w:eastAsiaTheme="minorEastAsia" w:cstheme="minorEastAsia"/>
          <w:color w:val="auto"/>
          <w:sz w:val="13"/>
          <w:szCs w:val="13"/>
          <w:highlight w:val="none"/>
        </w:rPr>
      </w:pPr>
      <w:r>
        <w:rPr>
          <w:rFonts w:hint="eastAsia" w:asciiTheme="minorEastAsia" w:hAnsiTheme="minorEastAsia" w:eastAsiaTheme="minorEastAsia" w:cstheme="minorEastAsia"/>
          <w:color w:val="auto"/>
          <w:sz w:val="13"/>
          <w:szCs w:val="13"/>
          <w:highlight w:val="none"/>
        </w:rPr>
      </w:r>
      <w:r/>
    </w:p>
    <w:p>
      <w:pPr>
        <w:jc w:val="center"/>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投标保证承诺书</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致：</w:t>
      </w:r>
      <w:r>
        <w:rPr>
          <w:rFonts w:hint="eastAsia" w:asciiTheme="minorEastAsia" w:hAnsiTheme="minorEastAsia" w:eastAsiaTheme="minorEastAsia" w:cstheme="minorEastAsia"/>
          <w:color w:val="auto"/>
          <w:sz w:val="21"/>
          <w:szCs w:val="24"/>
          <w:highlight w:val="none"/>
          <w:u w:val="single"/>
          <w:lang w:val="zh-CN"/>
        </w:rPr>
        <w:t xml:space="preserve">江苏苏维工程管理有限公司</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我（单位/本人，以下统称我单位）自愿参加（项目名称和采购编号）的投标</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并做出如下承诺：</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一、除不可抗力外，我单位如果发生以下行为，将在行为发生的10个工作日内，向贵方支付本采购文件公布的预算金额的2%作为违约赔偿金。</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1.自投标截止时间至本项目发布中标公告为止，撤销投标；</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2.中标后不依法与采购人签订合同；</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3.中标后不按本采购文件规定向采购人提交履约保证金</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如有</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二、我单位知晓上述行为的法律后果，承认本承诺书作为贵方要求我单位履行违约赔偿义务的依据作用。</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投标人：（盖章）</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地址：</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电话： </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传真：</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电子邮件： </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邮编：</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w:t>
      </w:r>
      <w:r/>
    </w:p>
    <w:p>
      <w:pP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br w:type="page" w:clear="all"/>
      </w:r>
      <w:r/>
    </w:p>
    <w:p>
      <w:pPr>
        <w:rPr>
          <w:rFonts w:hint="eastAsia" w:asciiTheme="minorEastAsia" w:hAnsiTheme="minorEastAsia" w:eastAsiaTheme="minorEastAsia" w:cstheme="minorEastAsia"/>
          <w:b/>
          <w:bCs w:val="0"/>
          <w:color w:val="auto"/>
          <w:sz w:val="21"/>
          <w:szCs w:val="21"/>
          <w:highlight w:val="none"/>
        </w:rPr>
      </w:pPr>
      <w:r>
        <w:rPr>
          <w:rFonts w:hint="eastAsia" w:asciiTheme="minorEastAsia" w:hAnsiTheme="minorEastAsia" w:eastAsiaTheme="minorEastAsia" w:cstheme="minorEastAsia"/>
          <w:b/>
          <w:bCs w:val="0"/>
          <w:color w:val="auto"/>
          <w:sz w:val="21"/>
          <w:szCs w:val="21"/>
          <w:highlight w:val="none"/>
          <w:lang w:val="en-US" w:eastAsia="zh-CN"/>
        </w:rPr>
        <w:t xml:space="preserve">十二、</w:t>
      </w:r>
      <w:r>
        <w:rPr>
          <w:rFonts w:hint="eastAsia" w:asciiTheme="minorEastAsia" w:hAnsiTheme="minorEastAsia" w:eastAsiaTheme="minorEastAsia" w:cstheme="minorEastAsia"/>
          <w:b/>
          <w:bCs w:val="0"/>
          <w:color w:val="auto"/>
          <w:sz w:val="21"/>
          <w:szCs w:val="21"/>
          <w:highlight w:val="none"/>
        </w:rPr>
        <w:t xml:space="preserve">供应商与其他单位存在控股、管理关系情况表</w:t>
      </w:r>
      <w:r/>
    </w:p>
    <w:p>
      <w:pPr>
        <w:ind w:firstLine="482"/>
        <w:jc w:val="left"/>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ind w:firstLine="482"/>
        <w:jc w:val="center"/>
        <w:widowControl/>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rPr>
        <w:t xml:space="preserve">供应商与其他单位存在控股、管理关系情况表</w:t>
      </w:r>
      <w:r/>
    </w:p>
    <w:p>
      <w:pPr>
        <w:jc w:val="left"/>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bl>
      <w:tblPr>
        <w:tblStyle w:val="952"/>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4160"/>
      </w:tblGrid>
      <w:tr>
        <w:trPr>
          <w:jc w:val="center"/>
          <w:trHeight w:val="637"/>
        </w:trPr>
        <w:tc>
          <w:tcPr>
            <w:tcW w:w="4928" w:type="dxa"/>
            <w:vAlign w:val="center"/>
            <w:textDirection w:val="lrTb"/>
            <w:noWrap w:val="false"/>
          </w:tcPr>
          <w:p>
            <w:pPr>
              <w:jc w:val="center"/>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与响应供应商存在控股、管理关系的单位名称</w:t>
            </w:r>
            <w:r/>
          </w:p>
        </w:tc>
        <w:tc>
          <w:tcPr>
            <w:tcW w:w="4160" w:type="dxa"/>
            <w:vAlign w:val="center"/>
            <w:textDirection w:val="lrTb"/>
            <w:noWrap w:val="false"/>
          </w:tcPr>
          <w:p>
            <w:pPr>
              <w:jc w:val="center"/>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控股、管理关系情况说明</w:t>
            </w:r>
            <w:r/>
          </w:p>
        </w:tc>
      </w:tr>
      <w:tr>
        <w:trPr>
          <w:jc w:val="center"/>
          <w:trHeight w:val="850"/>
        </w:trPr>
        <w:tc>
          <w:tcPr>
            <w:tcW w:w="4928" w:type="dxa"/>
            <w:vAlign w:val="center"/>
            <w:textDirection w:val="lrTb"/>
            <w:noWrap w:val="false"/>
          </w:tcPr>
          <w:p>
            <w:pPr>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4160" w:type="dxa"/>
            <w:vAlign w:val="center"/>
            <w:textDirection w:val="lrTb"/>
            <w:noWrap w:val="false"/>
          </w:tcPr>
          <w:p>
            <w:pPr>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r>
      <w:tr>
        <w:trPr>
          <w:jc w:val="center"/>
          <w:trHeight w:val="850"/>
        </w:trPr>
        <w:tc>
          <w:tcPr>
            <w:tcW w:w="4928" w:type="dxa"/>
            <w:vAlign w:val="center"/>
            <w:textDirection w:val="lrTb"/>
            <w:noWrap w:val="false"/>
          </w:tcPr>
          <w:p>
            <w:pPr>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4160" w:type="dxa"/>
            <w:vAlign w:val="center"/>
            <w:textDirection w:val="lrTb"/>
            <w:noWrap w:val="false"/>
          </w:tcPr>
          <w:p>
            <w:pPr>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r>
      <w:tr>
        <w:trPr>
          <w:jc w:val="center"/>
          <w:trHeight w:val="850"/>
        </w:trPr>
        <w:tc>
          <w:tcPr>
            <w:tcW w:w="4928" w:type="dxa"/>
            <w:vAlign w:val="center"/>
            <w:textDirection w:val="lrTb"/>
            <w:noWrap w:val="false"/>
          </w:tcPr>
          <w:p>
            <w:pPr>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4160" w:type="dxa"/>
            <w:vAlign w:val="center"/>
            <w:textDirection w:val="lrTb"/>
            <w:noWrap w:val="false"/>
          </w:tcPr>
          <w:p>
            <w:pPr>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r>
      <w:tr>
        <w:trPr>
          <w:jc w:val="center"/>
          <w:trHeight w:val="850"/>
        </w:trPr>
        <w:tc>
          <w:tcPr>
            <w:tcW w:w="4928" w:type="dxa"/>
            <w:vAlign w:val="center"/>
            <w:textDirection w:val="lrTb"/>
            <w:noWrap w:val="false"/>
          </w:tcPr>
          <w:p>
            <w:pPr>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4160" w:type="dxa"/>
            <w:vAlign w:val="center"/>
            <w:textDirection w:val="lrTb"/>
            <w:noWrap w:val="false"/>
          </w:tcPr>
          <w:p>
            <w:pPr>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r>
      <w:tr>
        <w:trPr>
          <w:jc w:val="center"/>
          <w:trHeight w:val="850"/>
        </w:trPr>
        <w:tc>
          <w:tcPr>
            <w:tcW w:w="4928" w:type="dxa"/>
            <w:vAlign w:val="center"/>
            <w:textDirection w:val="lrTb"/>
            <w:noWrap w:val="false"/>
          </w:tcPr>
          <w:p>
            <w:pPr>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4160" w:type="dxa"/>
            <w:vAlign w:val="center"/>
            <w:textDirection w:val="lrTb"/>
            <w:noWrap w:val="false"/>
          </w:tcPr>
          <w:p>
            <w:pPr>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r>
      <w:tr>
        <w:trPr>
          <w:jc w:val="center"/>
          <w:trHeight w:val="850"/>
        </w:trPr>
        <w:tc>
          <w:tcPr>
            <w:tcW w:w="4928" w:type="dxa"/>
            <w:vAlign w:val="center"/>
            <w:textDirection w:val="lrTb"/>
            <w:noWrap w:val="false"/>
          </w:tcPr>
          <w:p>
            <w:pPr>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4160" w:type="dxa"/>
            <w:vAlign w:val="center"/>
            <w:textDirection w:val="lrTb"/>
            <w:noWrap w:val="false"/>
          </w:tcPr>
          <w:p>
            <w:pPr>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r>
    </w:tbl>
    <w:p>
      <w:pPr>
        <w:ind w:firstLine="422"/>
        <w:spacing w:line="360" w:lineRule="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注：供应商应当按实填写所有与之有控股、管理关系的情况</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否则，投标文件将因资格性条件不符而被拒绝</w:t>
      </w:r>
      <w:r>
        <w:rPr>
          <w:rFonts w:hint="eastAsia" w:asciiTheme="minorEastAsia" w:hAnsiTheme="minorEastAsia" w:eastAsiaTheme="minorEastAsia" w:cstheme="minorEastAsia"/>
          <w:b/>
          <w:bCs/>
          <w:color w:val="auto"/>
          <w:sz w:val="21"/>
          <w:szCs w:val="21"/>
          <w:highlight w:val="none"/>
          <w:lang w:eastAsia="zh-CN"/>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供应商：（单位盖章）</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年    月    日</w:t>
      </w:r>
      <w:r/>
    </w:p>
    <w:p>
      <w:pPr>
        <w:pStyle w:val="95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br w:type="page" w:clear="all"/>
      </w:r>
      <w:r/>
    </w:p>
    <w:p>
      <w:pPr>
        <w:pStyle w:val="975"/>
        <w:jc w:val="left"/>
        <w:spacing w:line="360" w:lineRule="auto"/>
        <w:rPr>
          <w:rFonts w:hint="eastAsia" w:asciiTheme="minorEastAsia" w:hAnsiTheme="minorEastAsia" w:eastAsiaTheme="minorEastAsia" w:cstheme="minorEastAsia"/>
          <w:b/>
          <w:color w:val="auto"/>
          <w:sz w:val="21"/>
          <w:szCs w:val="21"/>
          <w:highlight w:val="none"/>
        </w:rPr>
      </w:pPr>
      <w:r/>
      <w:bookmarkStart w:id="70" w:name="_Toc18542"/>
      <w:r>
        <w:rPr>
          <w:rFonts w:hint="eastAsia" w:asciiTheme="minorEastAsia" w:hAnsiTheme="minorEastAsia" w:eastAsiaTheme="minorEastAsia" w:cstheme="minorEastAsia"/>
          <w:b/>
          <w:color w:val="auto"/>
          <w:sz w:val="21"/>
          <w:szCs w:val="21"/>
          <w:highlight w:val="none"/>
        </w:rPr>
        <w:t xml:space="preserve">十</w:t>
      </w:r>
      <w:r>
        <w:rPr>
          <w:rFonts w:hint="eastAsia" w:asciiTheme="minorEastAsia" w:hAnsiTheme="minorEastAsia" w:eastAsiaTheme="minorEastAsia" w:cstheme="minorEastAsia"/>
          <w:b/>
          <w:color w:val="auto"/>
          <w:sz w:val="21"/>
          <w:szCs w:val="21"/>
          <w:highlight w:val="none"/>
          <w:lang w:val="en-US" w:eastAsia="zh-CN"/>
        </w:rPr>
        <w:t xml:space="preserve">三</w:t>
      </w:r>
      <w:r>
        <w:rPr>
          <w:rFonts w:hint="eastAsia" w:asciiTheme="minorEastAsia" w:hAnsiTheme="minorEastAsia" w:eastAsiaTheme="minorEastAsia" w:cstheme="minorEastAsia"/>
          <w:b/>
          <w:color w:val="auto"/>
          <w:sz w:val="21"/>
          <w:szCs w:val="21"/>
          <w:highlight w:val="none"/>
        </w:rPr>
        <w:t xml:space="preserve">、联合体投标协议书</w:t>
      </w:r>
      <w:bookmarkEnd w:id="70"/>
      <w:r/>
      <w:r/>
    </w:p>
    <w:p>
      <w:pPr>
        <w:jc w:val="center"/>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r>
      <w:r/>
    </w:p>
    <w:p>
      <w:pPr>
        <w:jc w:val="center"/>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联合体投标协议书</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甲方:</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乙方:</w:t>
      </w:r>
      <w:r/>
    </w:p>
    <w:p>
      <w:pPr>
        <w:ind w:firstLine="420"/>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各方经协商，就响应</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zh-CN"/>
        </w:rPr>
        <w:t xml:space="preserve">（采购人名称)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组织的采购编号为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的招标活动联合进行投标之事宜，达成如下协议：</w:t>
      </w:r>
      <w:r/>
    </w:p>
    <w:p>
      <w:pPr>
        <w:ind w:firstLine="420"/>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1、各方一致决定,以</w:t>
      </w:r>
      <w:r>
        <w:rPr>
          <w:rFonts w:hint="eastAsia" w:asciiTheme="minorEastAsia" w:hAnsiTheme="minorEastAsia" w:eastAsiaTheme="minorEastAsia" w:cstheme="minorEastAsia"/>
          <w:color w:val="auto"/>
          <w:sz w:val="21"/>
          <w:szCs w:val="21"/>
          <w:highlight w:val="none"/>
          <w:u w:val="single"/>
        </w:rPr>
        <w:t xml:space="preserve">  （牵头人名称)  </w:t>
      </w:r>
      <w:r>
        <w:rPr>
          <w:rFonts w:hint="eastAsia" w:asciiTheme="minorEastAsia" w:hAnsiTheme="minorEastAsia" w:eastAsiaTheme="minorEastAsia" w:cstheme="minorEastAsia"/>
          <w:color w:val="auto"/>
          <w:sz w:val="21"/>
          <w:szCs w:val="21"/>
          <w:highlight w:val="none"/>
        </w:rPr>
        <w:t xml:space="preserve">为牵头人进行投标，并按照招标文件的规定分别提交资格文件。</w:t>
      </w:r>
      <w:r/>
    </w:p>
    <w:p>
      <w:pPr>
        <w:ind w:firstLine="420"/>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在本次投标过程中牵头人法定代表人或授权委托人（即代理人）根据招标文件规定及响应内容而对采购人所作的任何合法承诺，包括书面澄清及响应等均对联合投标各方产生约束力。如果成交并签订合同，则联合投标各方将共同履行对采购人所负有的全部义务并就合同约定的事项对采购人承担连带责任。</w:t>
      </w:r>
      <w:r/>
    </w:p>
    <w:p>
      <w:pPr>
        <w:ind w:firstLine="420"/>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3、联合投标其余各方保证对牵头人为响应本次招标提供全部质量保证及售后服务支持。</w:t>
      </w:r>
      <w:r/>
    </w:p>
    <w:p>
      <w:pPr>
        <w:ind w:firstLine="420"/>
        <w:spacing w:line="440" w:lineRule="exact"/>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4、本次联合投标中,甲方承担的工作和义务为：</w:t>
      </w:r>
      <w:r>
        <w:rPr>
          <w:rFonts w:hint="eastAsia" w:asciiTheme="minorEastAsia" w:hAnsiTheme="minorEastAsia" w:eastAsiaTheme="minorEastAsia" w:cstheme="minorEastAsia"/>
          <w:color w:val="auto"/>
          <w:sz w:val="21"/>
          <w:szCs w:val="21"/>
          <w:highlight w:val="none"/>
          <w:u w:val="single"/>
        </w:rPr>
        <w:t xml:space="preserve">                                 </w:t>
      </w:r>
      <w:r/>
    </w:p>
    <w:p>
      <w:pPr>
        <w:ind w:firstLine="420"/>
        <w:spacing w:line="440" w:lineRule="exact"/>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5、乙方承担的工作和义务为：</w:t>
      </w:r>
      <w:r>
        <w:rPr>
          <w:rFonts w:hint="eastAsia" w:asciiTheme="minorEastAsia" w:hAnsiTheme="minorEastAsia" w:eastAsiaTheme="minorEastAsia" w:cstheme="minorEastAsia"/>
          <w:color w:val="auto"/>
          <w:sz w:val="21"/>
          <w:szCs w:val="21"/>
          <w:highlight w:val="none"/>
          <w:u w:val="single"/>
        </w:rPr>
        <w:t xml:space="preserve">                                                </w:t>
      </w:r>
      <w:r/>
    </w:p>
    <w:p>
      <w:pPr>
        <w:ind w:firstLine="420"/>
        <w:spacing w:line="440" w:lineRule="exact"/>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、有关本次联合投标的其他事宜：</w:t>
      </w:r>
      <w:r>
        <w:rPr>
          <w:rFonts w:hint="eastAsia" w:asciiTheme="minorEastAsia" w:hAnsiTheme="minorEastAsia" w:eastAsiaTheme="minorEastAsia" w:cstheme="minorEastAsia"/>
          <w:color w:val="auto"/>
          <w:sz w:val="21"/>
          <w:szCs w:val="21"/>
          <w:highlight w:val="none"/>
          <w:u w:val="single"/>
        </w:rPr>
        <w:t xml:space="preserve">                                             </w:t>
      </w:r>
      <w:r/>
    </w:p>
    <w:p>
      <w:pPr>
        <w:ind w:firstLine="420"/>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、本协议提交采购人后，联合投标各方不得以任何形式对上述实质内容进行修改或撤销。</w:t>
      </w:r>
      <w:r/>
    </w:p>
    <w:p>
      <w:pPr>
        <w:ind w:firstLine="420"/>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、本协议一式</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份，签约各方各持</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份。</w:t>
      </w:r>
      <w:r/>
    </w:p>
    <w:p>
      <w:pPr>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420"/>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牵头人名称：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（盖单位公章）</w:t>
      </w:r>
      <w:r/>
    </w:p>
    <w:p>
      <w:pPr>
        <w:ind w:firstLine="420"/>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法定代表人或其委托代理人：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（签字或盖章）</w:t>
      </w:r>
      <w:r/>
    </w:p>
    <w:p>
      <w:pPr>
        <w:ind w:firstLine="420"/>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成员名称：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（盖单位公章）</w:t>
      </w:r>
      <w:r/>
    </w:p>
    <w:p>
      <w:pPr>
        <w:ind w:firstLine="420"/>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法定代表人或其委托代理人：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（签字或盖章）</w:t>
      </w:r>
      <w:r/>
    </w:p>
    <w:p>
      <w:pPr>
        <w:ind w:firstLine="420"/>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960"/>
        <w:ind w:firstLine="420"/>
        <w:jc w:val="left"/>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年    月    日</w:t>
      </w:r>
      <w:r/>
    </w:p>
    <w:p>
      <w:pPr>
        <w:jc w:val="lef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（若为联合体投标，须提供联合体投标协议书，签订合同阶段须明确具体工作量分工）</w:t>
      </w:r>
      <w:r/>
    </w:p>
    <w:p>
      <w:pPr>
        <w:pStyle w:val="960"/>
        <w:ind w:firstLine="480"/>
        <w:jc w:val="left"/>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p>
      <w:pPr>
        <w:jc w:val="center"/>
        <w:spacing w:line="360" w:lineRule="auto"/>
        <w:rPr>
          <w:rFonts w:hint="eastAsia" w:asciiTheme="minorEastAsia" w:hAnsiTheme="minorEastAsia" w:eastAsiaTheme="minorEastAsia" w:cstheme="minorEastAsia"/>
          <w:b/>
          <w:color w:val="auto"/>
          <w:sz w:val="32"/>
          <w:szCs w:val="32"/>
          <w:highlight w:val="none"/>
        </w:rPr>
        <w:outlineLvl w:val="0"/>
      </w:pPr>
      <w:r>
        <w:rPr>
          <w:rFonts w:hint="eastAsia" w:asciiTheme="minorEastAsia" w:hAnsiTheme="minorEastAsia" w:eastAsiaTheme="minorEastAsia" w:cstheme="minorEastAsia"/>
          <w:b/>
          <w:color w:val="auto"/>
          <w:sz w:val="32"/>
          <w:szCs w:val="32"/>
          <w:highlight w:val="none"/>
        </w:rPr>
        <w:br w:type="page" w:clear="all"/>
      </w:r>
      <w:bookmarkEnd w:id="48"/>
      <w:r/>
      <w:bookmarkEnd w:id="69"/>
      <w:r/>
      <w:bookmarkStart w:id="71" w:name="_Toc488677788"/>
      <w:r/>
      <w:bookmarkStart w:id="72" w:name="_Toc35951275"/>
      <w:r/>
      <w:bookmarkStart w:id="73" w:name="_Toc501527304"/>
      <w:r>
        <w:rPr>
          <w:rFonts w:hint="eastAsia" w:asciiTheme="minorEastAsia" w:hAnsiTheme="minorEastAsia" w:eastAsiaTheme="minorEastAsia" w:cstheme="minorEastAsia"/>
          <w:b/>
          <w:color w:val="auto"/>
          <w:sz w:val="32"/>
          <w:szCs w:val="32"/>
          <w:highlight w:val="none"/>
        </w:rPr>
        <w:t xml:space="preserve">第四章 招标书</w:t>
      </w:r>
      <w:r/>
    </w:p>
    <w:p>
      <w:pPr>
        <w:ind w:firstLine="42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江苏苏维工程管理有限公司受</w:t>
      </w:r>
      <w:r>
        <w:rPr>
          <w:rFonts w:hint="eastAsia" w:asciiTheme="minorEastAsia" w:hAnsiTheme="minorEastAsia" w:eastAsiaTheme="minorEastAsia" w:cstheme="minorEastAsia"/>
          <w:color w:val="auto"/>
          <w:sz w:val="21"/>
          <w:szCs w:val="21"/>
          <w:highlight w:val="none"/>
          <w:lang w:eastAsia="zh-CN"/>
        </w:rPr>
        <w:t xml:space="preserve">苏州市吴江区自然资源和规划局</w:t>
      </w:r>
      <w:r>
        <w:rPr>
          <w:rFonts w:hint="eastAsia" w:asciiTheme="minorEastAsia" w:hAnsiTheme="minorEastAsia" w:eastAsiaTheme="minorEastAsia" w:cstheme="minorEastAsia"/>
          <w:color w:val="auto"/>
          <w:sz w:val="21"/>
          <w:szCs w:val="21"/>
          <w:highlight w:val="none"/>
        </w:rPr>
        <w:t xml:space="preserve">的委托，就其所需的</w:t>
      </w:r>
      <w:r>
        <w:rPr>
          <w:rFonts w:hint="eastAsia" w:asciiTheme="minorEastAsia" w:hAnsiTheme="minorEastAsia" w:eastAsiaTheme="minorEastAsia" w:cstheme="minorEastAsia"/>
          <w:color w:val="auto"/>
          <w:sz w:val="21"/>
          <w:szCs w:val="21"/>
          <w:highlight w:val="none"/>
          <w:lang w:eastAsia="zh-CN"/>
        </w:rPr>
        <w:t xml:space="preserve">2026年管线普查及数据升级项目</w:t>
      </w:r>
      <w:r>
        <w:rPr>
          <w:rFonts w:hint="eastAsia" w:asciiTheme="minorEastAsia" w:hAnsiTheme="minorEastAsia" w:eastAsiaTheme="minorEastAsia" w:cstheme="minorEastAsia"/>
          <w:color w:val="auto"/>
          <w:sz w:val="21"/>
          <w:szCs w:val="21"/>
          <w:highlight w:val="none"/>
        </w:rPr>
        <w:t xml:space="preserve">进行国内公开招标。欢迎符合资格条件的供应商前来参加投标。</w:t>
      </w:r>
      <w:r/>
    </w:p>
    <w:p>
      <w:pPr>
        <w:ind w:firstLine="422"/>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一、采购编号：</w:t>
      </w:r>
      <w:r>
        <w:rPr>
          <w:rFonts w:hint="eastAsia" w:asciiTheme="minorEastAsia" w:hAnsiTheme="minorEastAsia" w:eastAsiaTheme="minorEastAsia" w:cstheme="minorEastAsia"/>
          <w:color w:val="auto"/>
          <w:sz w:val="21"/>
          <w:szCs w:val="21"/>
          <w:highlight w:val="none"/>
          <w:lang w:eastAsia="zh-CN"/>
        </w:rPr>
        <w:t xml:space="preserve">JSZC-320509-SWGC-G2026-0065</w:t>
      </w:r>
      <w:r/>
    </w:p>
    <w:p>
      <w:pPr>
        <w:ind w:firstLine="422"/>
        <w:spacing w:line="360" w:lineRule="auto"/>
        <w:widowControl/>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二、项目名称：</w:t>
      </w:r>
      <w:r>
        <w:rPr>
          <w:rFonts w:hint="eastAsia" w:asciiTheme="minorEastAsia" w:hAnsiTheme="minorEastAsia" w:eastAsiaTheme="minorEastAsia" w:cstheme="minorEastAsia"/>
          <w:color w:val="auto"/>
          <w:sz w:val="21"/>
          <w:szCs w:val="21"/>
          <w:highlight w:val="none"/>
          <w:lang w:eastAsia="zh-CN"/>
        </w:rPr>
        <w:t xml:space="preserve">2026年管线普查及数据升级项目</w:t>
      </w:r>
      <w:r/>
    </w:p>
    <w:p>
      <w:pPr>
        <w:ind w:firstLine="422"/>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三、预算金额</w:t>
      </w:r>
      <w:r>
        <w:rPr>
          <w:rFonts w:hint="eastAsia" w:asciiTheme="minorEastAsia" w:hAnsiTheme="minorEastAsia" w:eastAsiaTheme="minorEastAsia" w:cstheme="minorEastAsia"/>
          <w:b/>
          <w:bCs/>
          <w:color w:val="auto"/>
          <w:sz w:val="21"/>
          <w:szCs w:val="21"/>
          <w:highlight w:val="none"/>
          <w:lang w:val="zh-CN"/>
        </w:rPr>
        <w:t xml:space="preserve">：</w:t>
      </w:r>
      <w:r>
        <w:rPr>
          <w:rFonts w:hint="eastAsia" w:asciiTheme="minorEastAsia" w:hAnsiTheme="minorEastAsia" w:eastAsiaTheme="minorEastAsia" w:cstheme="minorEastAsia"/>
          <w:color w:val="auto"/>
          <w:sz w:val="21"/>
          <w:szCs w:val="21"/>
          <w:highlight w:val="none"/>
          <w:lang w:val="zh-CN"/>
        </w:rPr>
        <w:t xml:space="preserve">人民币</w:t>
      </w:r>
      <w:r>
        <w:rPr>
          <w:rFonts w:hint="eastAsia" w:asciiTheme="minorEastAsia" w:hAnsiTheme="minorEastAsia" w:eastAsiaTheme="minorEastAsia" w:cstheme="minorEastAsia"/>
          <w:color w:val="auto"/>
          <w:sz w:val="21"/>
          <w:szCs w:val="21"/>
          <w:highlight w:val="none"/>
          <w:lang w:val="en-US" w:eastAsia="zh-CN"/>
        </w:rPr>
        <w:t xml:space="preserve">捌佰叁拾捌</w:t>
      </w:r>
      <w:r>
        <w:rPr>
          <w:rFonts w:hint="eastAsia" w:asciiTheme="minorEastAsia" w:hAnsiTheme="minorEastAsia" w:eastAsiaTheme="minorEastAsia" w:cstheme="minorEastAsia"/>
          <w:color w:val="auto"/>
          <w:sz w:val="21"/>
          <w:szCs w:val="21"/>
          <w:highlight w:val="none"/>
          <w:lang w:val="zh-CN"/>
        </w:rPr>
        <w:t xml:space="preserve">万元整（</w:t>
      </w:r>
      <w:r>
        <w:rPr>
          <w:rFonts w:hint="eastAsia" w:asciiTheme="minorEastAsia" w:hAnsiTheme="minorEastAsia" w:eastAsiaTheme="minorEastAsia" w:cstheme="minorEastAsia"/>
          <w:color w:val="auto"/>
          <w:sz w:val="21"/>
          <w:szCs w:val="21"/>
          <w:highlight w:val="none"/>
          <w:lang w:val="en-US" w:eastAsia="zh-CN"/>
        </w:rPr>
        <w:t xml:space="preserve">¥838</w:t>
      </w:r>
      <w:r>
        <w:rPr>
          <w:rFonts w:hint="eastAsia" w:asciiTheme="minorEastAsia" w:hAnsiTheme="minorEastAsia" w:eastAsiaTheme="minorEastAsia" w:cstheme="minorEastAsia"/>
          <w:color w:val="auto"/>
          <w:sz w:val="21"/>
          <w:szCs w:val="21"/>
          <w:highlight w:val="none"/>
          <w:lang w:val="zh-CN"/>
        </w:rPr>
        <w:t xml:space="preserve">0000.00），</w:t>
      </w:r>
      <w:r>
        <w:rPr>
          <w:rFonts w:hint="eastAsia" w:asciiTheme="minorEastAsia" w:hAnsiTheme="minorEastAsia" w:eastAsiaTheme="minorEastAsia" w:cstheme="minorEastAsia"/>
          <w:color w:val="auto"/>
          <w:sz w:val="21"/>
          <w:szCs w:val="21"/>
          <w:highlight w:val="none"/>
          <w:lang w:val="en-US" w:eastAsia="zh-CN"/>
        </w:rPr>
        <w:t xml:space="preserve">其中：</w:t>
      </w:r>
      <w:r/>
    </w:p>
    <w:p>
      <w:pPr>
        <w:pStyle w:val="953"/>
        <w:ind w:firstLine="42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标段一：预算金额为人民币肆佰壹拾叁万元整（¥413</w:t>
      </w:r>
      <w:r>
        <w:rPr>
          <w:rFonts w:hint="eastAsia" w:asciiTheme="minorEastAsia" w:hAnsiTheme="minorEastAsia" w:eastAsiaTheme="minorEastAsia" w:cstheme="minorEastAsia"/>
          <w:color w:val="auto"/>
          <w:sz w:val="21"/>
          <w:szCs w:val="21"/>
          <w:highlight w:val="none"/>
          <w:lang w:val="zh-CN"/>
        </w:rPr>
        <w:t xml:space="preserve">0000.00</w:t>
      </w:r>
      <w:r>
        <w:rPr>
          <w:rFonts w:hint="eastAsia" w:asciiTheme="minorEastAsia" w:hAnsiTheme="minorEastAsia" w:eastAsiaTheme="minorEastAsia" w:cstheme="minorEastAsia"/>
          <w:color w:val="auto"/>
          <w:sz w:val="21"/>
          <w:szCs w:val="21"/>
          <w:highlight w:val="none"/>
          <w:lang w:val="en-US" w:eastAsia="zh-CN"/>
        </w:rPr>
        <w:t xml:space="preserve">）；</w:t>
      </w:r>
      <w:r/>
    </w:p>
    <w:p>
      <w:pPr>
        <w:pStyle w:val="953"/>
        <w:ind w:firstLine="420"/>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标段二：预算金额为人民币肆佰贰拾伍万元整（¥425</w:t>
      </w:r>
      <w:r>
        <w:rPr>
          <w:rFonts w:hint="eastAsia" w:asciiTheme="minorEastAsia" w:hAnsiTheme="minorEastAsia" w:eastAsiaTheme="minorEastAsia" w:cstheme="minorEastAsia"/>
          <w:color w:val="auto"/>
          <w:sz w:val="21"/>
          <w:szCs w:val="21"/>
          <w:highlight w:val="none"/>
          <w:lang w:val="zh-CN"/>
        </w:rPr>
        <w:t xml:space="preserve">0000.00</w:t>
      </w:r>
      <w:r>
        <w:rPr>
          <w:rFonts w:hint="eastAsia" w:asciiTheme="minorEastAsia" w:hAnsiTheme="minorEastAsia" w:eastAsiaTheme="minorEastAsia" w:cstheme="minorEastAsia"/>
          <w:color w:val="auto"/>
          <w:sz w:val="21"/>
          <w:szCs w:val="21"/>
          <w:highlight w:val="none"/>
          <w:lang w:val="en-US" w:eastAsia="zh-CN"/>
        </w:rPr>
        <w:t xml:space="preserve">）。</w:t>
      </w:r>
      <w:r/>
    </w:p>
    <w:p>
      <w:pPr>
        <w:numPr>
          <w:ilvl w:val="0"/>
          <w:numId w:val="3"/>
        </w:numPr>
        <w:ind w:firstLine="422"/>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服务期限：</w:t>
      </w:r>
      <w:r/>
    </w:p>
    <w:p>
      <w:pPr>
        <w:ind w:firstLine="420"/>
        <w:spacing w:line="360" w:lineRule="auto"/>
        <w:rPr>
          <w:rFonts w:hint="eastAsia"/>
          <w:color w:val="auto"/>
          <w:highlight w:val="none"/>
        </w:rPr>
      </w:pPr>
      <w:r>
        <w:rPr>
          <w:rFonts w:hint="eastAsia" w:asciiTheme="minorEastAsia" w:hAnsiTheme="minorEastAsia" w:eastAsiaTheme="minorEastAsia" w:cstheme="minorEastAsia"/>
          <w:color w:val="auto"/>
          <w:sz w:val="21"/>
          <w:szCs w:val="21"/>
          <w:highlight w:val="none"/>
          <w:lang w:val="zh-CN"/>
        </w:rPr>
        <w:t xml:space="preserve">项目拟于</w:t>
      </w: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月底前通过采购单位组织的验收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提交全部成果。</w:t>
      </w:r>
      <w:r/>
    </w:p>
    <w:p>
      <w:pPr>
        <w:numPr>
          <w:ilvl w:val="0"/>
          <w:numId w:val="3"/>
        </w:numPr>
        <w:ind w:firstLine="422"/>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采购需求：</w:t>
      </w:r>
      <w:r/>
    </w:p>
    <w:p>
      <w:pPr>
        <w:ind w:firstLine="422"/>
        <w:spacing w:line="360" w:lineRule="auto"/>
        <w:tabs>
          <w:tab w:val="left" w:pos="540" w:leader="none"/>
          <w:tab w:val="left" w:pos="567" w:leader="none"/>
        </w:tabs>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（一）项目概况</w:t>
      </w:r>
      <w:r/>
    </w:p>
    <w:p>
      <w:pPr>
        <w:contextualSpacing/>
        <w:ind w:firstLine="420"/>
        <w:spacing w:line="360" w:lineRule="auto"/>
        <w:rPr>
          <w:rFonts w:hint="eastAsia" w:ascii="宋体" w:hAnsi="宋体" w:eastAsia="宋体" w:cs="宋体"/>
          <w:bCs w:val="0"/>
          <w:color w:val="auto"/>
          <w:sz w:val="21"/>
          <w:szCs w:val="21"/>
          <w:highlight w:val="none"/>
        </w:rPr>
        <w:outlineLvl w:val="9"/>
      </w:pPr>
      <w:r>
        <w:rPr>
          <w:rFonts w:hint="eastAsia" w:ascii="宋体" w:hAnsi="宋体" w:eastAsia="宋体" w:cs="宋体"/>
          <w:color w:val="auto"/>
          <w:sz w:val="21"/>
          <w:szCs w:val="21"/>
          <w:highlight w:val="none"/>
        </w:rPr>
        <w:t xml:space="preserve">为进一步加强吴江区既有管线数据的现势性和完整性，根据住房和城乡建设部《关于加强城</w:t>
      </w:r>
      <w:r>
        <w:rPr>
          <w:rFonts w:hint="eastAsia" w:ascii="宋体" w:hAnsi="宋体" w:eastAsia="宋体" w:cs="宋体"/>
          <w:color w:val="auto"/>
          <w:sz w:val="21"/>
          <w:szCs w:val="21"/>
          <w:highlight w:val="none"/>
        </w:rPr>
        <w:t xml:space="preserve">市地下市政基础设施建设的指导意见》（建城〔2020〕111号）、江苏省住房和城乡建设厅《江苏省加强城市地下市政基础设施建设工作方案》(苏建城〔2021〕71号)、苏州市政府办《关于印发&lt;苏州市加强城市地下市政基础设施建设工作方案&gt;的通知》（苏府办〔2021〕194号）等文件要求，拟对东太湖度假区（太湖新城）主城区外、平望镇、震泽镇等区域实施“2026年管线普查及数据升级”项目，保障全区既有管线普查数据归集，为吴江区城市地下管线及其附属设施的体系化建设和规范化管理、苏州市城市生命线安全工程建设工作提供数据支撑</w:t>
      </w:r>
      <w:r>
        <w:rPr>
          <w:rFonts w:hint="eastAsia" w:ascii="宋体" w:hAnsi="宋体" w:eastAsia="宋体" w:cs="宋体"/>
          <w:color w:val="auto"/>
          <w:sz w:val="21"/>
          <w:szCs w:val="21"/>
          <w:highlight w:val="none"/>
          <w:lang w:eastAsia="zh-CN"/>
        </w:rPr>
        <w:t xml:space="preserve">。</w:t>
      </w:r>
      <w:r/>
    </w:p>
    <w:p>
      <w:pPr>
        <w:ind w:firstLine="422"/>
        <w:spacing w:line="360" w:lineRule="auto"/>
        <w:tabs>
          <w:tab w:val="left" w:pos="540" w:leader="none"/>
          <w:tab w:val="left" w:pos="567" w:leader="none"/>
        </w:tabs>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（二）主要工作内容</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内容包括普查单元划分及调查、既有管线数据</w:t>
      </w:r>
      <w:r>
        <w:rPr>
          <w:rFonts w:hint="eastAsia" w:ascii="宋体" w:hAnsi="宋体" w:eastAsia="宋体" w:cs="宋体"/>
          <w:color w:val="auto"/>
          <w:sz w:val="21"/>
          <w:szCs w:val="21"/>
          <w:highlight w:val="none"/>
          <w:lang w:val="en-US" w:eastAsia="zh-CN"/>
        </w:rPr>
        <w:t xml:space="preserve">治理和</w:t>
      </w:r>
      <w:r>
        <w:rPr>
          <w:rFonts w:hint="eastAsia" w:ascii="宋体" w:hAnsi="宋体" w:eastAsia="宋体" w:cs="宋体"/>
          <w:color w:val="auto"/>
          <w:sz w:val="21"/>
          <w:szCs w:val="21"/>
          <w:highlight w:val="none"/>
        </w:rPr>
        <w:t xml:space="preserve">升级、新增管线普查、翻档补录、数据</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、三维建模</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w:t>
      </w:r>
      <w:r/>
    </w:p>
    <w:p>
      <w:pPr>
        <w:contextualSpacing/>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（三）合同履行期限</w:t>
      </w:r>
      <w:r/>
    </w:p>
    <w:p>
      <w:pPr>
        <w:pStyle w:val="953"/>
        <w:ind w:firstLine="420"/>
        <w:rPr>
          <w:rFonts w:hint="eastAsia"/>
          <w:color w:val="auto"/>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月底前通过采购单位组织的验收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提交全部成果。</w:t>
      </w:r>
      <w:r/>
    </w:p>
    <w:p>
      <w:pPr>
        <w:contextualSpacing/>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免费维保期1年。</w:t>
      </w:r>
      <w:r>
        <w:rPr>
          <w:rFonts w:hint="eastAsia" w:ascii="宋体" w:hAnsi="宋体" w:eastAsia="宋体" w:cs="宋体"/>
          <w:color w:val="auto"/>
          <w:sz w:val="21"/>
          <w:szCs w:val="21"/>
          <w:highlight w:val="none"/>
        </w:rPr>
        <w:t xml:space="preserve">（自项目通过验收之日起计）</w:t>
      </w:r>
      <w:r/>
    </w:p>
    <w:p>
      <w:pPr>
        <w:pStyle w:val="955"/>
        <w:contextualSpacing/>
        <w:ind w:left="0" w:firstLine="422"/>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（四）建设目标</w:t>
      </w:r>
      <w:r/>
    </w:p>
    <w:p>
      <w:pPr>
        <w:pStyle w:val="955"/>
        <w:contextualSpacing/>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形成符合《苏州市城市地下市政基础设施数据归集标准（暂行）》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以下简称《归集标准》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要求，覆盖吴江开发区、东太湖度假区（太湖新城）、吴江高新区（盛泽镇）、汾湖高新区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黎里镇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、平望镇</w:t>
      </w:r>
      <w:r>
        <w:rPr>
          <w:rFonts w:hint="eastAsia" w:ascii="宋体" w:hAnsi="宋体" w:eastAsia="宋体" w:cs="宋体"/>
          <w:color w:val="auto"/>
          <w:sz w:val="21"/>
          <w:szCs w:val="21"/>
          <w:highlight w:val="none"/>
          <w:lang w:eastAsia="zh-CN"/>
        </w:rPr>
        <w:t xml:space="preserve">、震泽镇</w:t>
      </w:r>
      <w:r>
        <w:rPr>
          <w:rFonts w:hint="eastAsia" w:ascii="宋体" w:hAnsi="宋体" w:eastAsia="宋体" w:cs="宋体"/>
          <w:color w:val="auto"/>
          <w:sz w:val="21"/>
          <w:szCs w:val="21"/>
          <w:highlight w:val="none"/>
        </w:rPr>
        <w:t xml:space="preserve">及重要道路，现势性可靠且一致的地下管线数据库。</w:t>
      </w:r>
      <w:r/>
    </w:p>
    <w:p>
      <w:pPr>
        <w:pStyle w:val="955"/>
        <w:contextualSpacing/>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开展整合建库、三维建模、平台录入管理及数据库功能优化等工作，实现管线数据的二三维一体化管理及应用，为吴江区城市地下管线及其附属设施的体系化建设和规范化管理、苏州市城市生命线安全工程建设工作、工程项目规划审批以及政府决策提供数据支撑。</w:t>
      </w:r>
      <w:r/>
    </w:p>
    <w:p>
      <w:pPr>
        <w:pStyle w:val="955"/>
        <w:contextualSpacing/>
        <w:ind w:firstLine="422"/>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（五）建设内容</w:t>
      </w:r>
      <w:r/>
    </w:p>
    <w:p>
      <w:pPr>
        <w:pStyle w:val="955"/>
        <w:contextualSpacing/>
        <w:ind w:firstLine="422"/>
        <w:jc w:val="both"/>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1.</w:t>
      </w:r>
      <w:r>
        <w:rPr>
          <w:rFonts w:hint="eastAsia" w:ascii="宋体" w:hAnsi="宋体" w:eastAsia="宋体" w:cs="宋体"/>
          <w:b/>
          <w:bCs/>
          <w:color w:val="auto"/>
          <w:sz w:val="21"/>
          <w:szCs w:val="21"/>
          <w:highlight w:val="none"/>
        </w:rPr>
        <w:t xml:space="preserve">项目主要内容</w:t>
      </w:r>
      <w:r/>
    </w:p>
    <w:p>
      <w:pPr>
        <w:contextualSpacing/>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普查单元划分及调查：按照《归集标准》要求，更新已有的普查单元，绘制新增普查单元，各普查单元应划分合理、无缝衔接且全面覆盖普查区域。科学编制普查单元编号，通过外业调查、查阅资料及遥感解译等手段，调查和完善普查单元属性信息。</w:t>
      </w:r>
      <w:r/>
    </w:p>
    <w:p>
      <w:pPr>
        <w:contextualSpacing/>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既有管线数据治理：收集既有成果资料整合处理，充分利用权属（管理）单位提交的既有地下市政基础设施成果。在前期既有资料评估的基础上，对可利用资料进行整理、对比分析、扫描、数字化后进行数据清洗，将所收集的资料数据格式、坐标系统等进行转换，抽取可利用的空间信息、技术信息和管理信息，根据《归集标准》要求完成数据标准化。</w:t>
      </w:r>
      <w:r/>
    </w:p>
    <w:p>
      <w:pPr>
        <w:contextualSpacing/>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既有管线数据升级：针对既有管线数据，按照《归集标准》的要求，使用检定合格的测绘和探测仪器，开展外业调查和测绘工作。在外业时应对既有管线数据的现势性进行核查，并对已变化管线进行修补测。</w:t>
      </w:r>
      <w:r/>
    </w:p>
    <w:p>
      <w:pPr>
        <w:contextualSpacing/>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（4）新增管线普查：按照《归集标准》的要求，对新增管线进行全面外业调查实测工作。</w:t>
      </w:r>
      <w:r/>
    </w:p>
    <w:p>
      <w:pPr>
        <w:contextualSpacing/>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（5）翻档补录：对地下设施普查数据归集标准中的管理信息和部分技术信息通过翻阅资料档案的方式进行补充和完善。</w:t>
      </w:r>
      <w:r/>
    </w:p>
    <w:p>
      <w:pPr>
        <w:contextualSpacing/>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（6）数据</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：管线普查及数据升级完成后，按照《归集标准》的要求，对成果数据进行全面质量自检，形成质量自检报告；同时成果需提交权属（管理）单位核实。</w:t>
      </w:r>
      <w:r/>
    </w:p>
    <w:p>
      <w:pPr>
        <w:contextualSpacing/>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（7）权属单位审图：生成专业管线图给各权属（管理、特许经营）单位进行审图，根据审图反馈意见对数据进行相应修改，并由权属（管理、特许经营）单位最终确认。</w:t>
      </w:r>
      <w:r/>
    </w:p>
    <w:p>
      <w:pPr>
        <w:contextualSpacing/>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（8）数据库检查：在数据库整合前，使用检查软件对各项目（或标段）的数据库实施格式一致性、概念一致性、拓扑一致性、图属一致性、地理精度以及三维空间碰撞等检查。</w:t>
      </w:r>
      <w:r/>
    </w:p>
    <w:p>
      <w:pPr>
        <w:contextualSpacing/>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）管线三维建模及数据入库：数据成果经监理及质量监督检验机构质检合格</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通过采购单位组织的验收</w:t>
      </w:r>
      <w:r>
        <w:rPr>
          <w:rFonts w:hint="eastAsia" w:ascii="宋体" w:hAnsi="宋体" w:eastAsia="宋体" w:cs="宋体"/>
          <w:color w:val="auto"/>
          <w:sz w:val="21"/>
          <w:szCs w:val="21"/>
          <w:highlight w:val="none"/>
        </w:rPr>
        <w:t xml:space="preserve">后，需将数据成果提交至采购人，由第一标段的中标单位牵头，第二标段配合完成三维建模及数据入库、</w:t>
      </w:r>
      <w:r>
        <w:rPr>
          <w:rFonts w:hint="eastAsia" w:ascii="宋体" w:hAnsi="宋体" w:eastAsia="宋体" w:cs="宋体"/>
          <w:color w:val="auto"/>
          <w:sz w:val="21"/>
          <w:szCs w:val="21"/>
          <w:highlight w:val="none"/>
          <w:lang w:val="en-US" w:eastAsia="zh-CN"/>
        </w:rPr>
        <w:t xml:space="preserve">根据需要完成相关系统平台的</w:t>
      </w:r>
      <w:r>
        <w:rPr>
          <w:rFonts w:hint="eastAsia" w:ascii="宋体" w:hAnsi="宋体" w:eastAsia="宋体" w:cs="宋体"/>
          <w:color w:val="auto"/>
          <w:sz w:val="21"/>
          <w:szCs w:val="21"/>
          <w:highlight w:val="none"/>
        </w:rPr>
        <w:t xml:space="preserve">适配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实现数据成果的管理和应用。</w:t>
      </w:r>
      <w:r>
        <w:rPr>
          <w:rFonts w:hint="eastAsia" w:ascii="宋体" w:hAnsi="宋体" w:eastAsia="宋体" w:cs="宋体"/>
          <w:color w:val="auto"/>
          <w:sz w:val="21"/>
          <w:szCs w:val="21"/>
          <w:highlight w:val="none"/>
        </w:rPr>
        <w:t xml:space="preserve">相关要求按照现行国家及省级标准规范、《归集标准》执行。</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数据库功能优化：对已有数据库进行方案数据检查等功能优化工作。</w:t>
      </w:r>
      <w:r/>
    </w:p>
    <w:p>
      <w:pPr>
        <w:contextualSpacing/>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2.</w:t>
      </w:r>
      <w:r>
        <w:rPr>
          <w:rFonts w:hint="eastAsia" w:ascii="宋体" w:hAnsi="宋体" w:eastAsia="宋体" w:cs="宋体"/>
          <w:b/>
          <w:bCs/>
          <w:color w:val="auto"/>
          <w:sz w:val="21"/>
          <w:szCs w:val="21"/>
          <w:highlight w:val="none"/>
        </w:rPr>
        <w:t xml:space="preserve">普查对象</w:t>
      </w:r>
      <w:r/>
    </w:p>
    <w:p>
      <w:pPr>
        <w:contextualSpacing/>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（1）管线普查道路及两侧范围内敷设的给水、污水、雨水、燃气、电力、路灯、通信、有线电视、热力、工业</w:t>
      </w:r>
      <w:r>
        <w:rPr>
          <w:rFonts w:hint="eastAsia" w:ascii="宋体" w:hAnsi="宋体" w:eastAsia="宋体" w:cs="宋体"/>
          <w:color w:val="auto"/>
          <w:sz w:val="21"/>
          <w:szCs w:val="21"/>
          <w:highlight w:val="none"/>
        </w:rPr>
        <w:t xml:space="preserve">以及综合管廊等管（沟）道</w:t>
      </w:r>
      <w:r>
        <w:rPr>
          <w:rFonts w:hint="eastAsia" w:ascii="宋体" w:hAnsi="宋体" w:eastAsia="宋体" w:cs="宋体"/>
          <w:bCs/>
          <w:color w:val="auto"/>
          <w:sz w:val="21"/>
          <w:szCs w:val="21"/>
          <w:highlight w:val="none"/>
        </w:rPr>
        <w:t xml:space="preserve">。</w:t>
      </w:r>
      <w:r/>
    </w:p>
    <w:p>
      <w:pPr>
        <w:contextualSpacing/>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管线探测次序依次按快速路-主干路-次干路-支路顺序进行。机关、企事业单位、住宅小区等列为非探测区，内部管线不须探测。但对穿越上述非普查区的主干管线（给水管径≥300mm、排水管径≥600mm、方沟≥700mm×700 mm、热力管径≥300mm、煤气管径≥200mm）和专用地下管线不能中断，以保持主干管线的连续性。</w:t>
      </w:r>
      <w:r/>
    </w:p>
    <w:p>
      <w:pPr>
        <w:numPr>
          <w:ilvl w:val="0"/>
          <w:numId w:val="4"/>
        </w:numPr>
        <w:contextualSpacing/>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应探测大于等于10kV、小于等于35kV的架空电缆。</w:t>
      </w:r>
      <w:r/>
    </w:p>
    <w:p>
      <w:pPr>
        <w:pStyle w:val="955"/>
        <w:contextualSpacing/>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3.</w:t>
      </w:r>
      <w:r>
        <w:rPr>
          <w:rFonts w:hint="eastAsia" w:ascii="宋体" w:hAnsi="宋体" w:eastAsia="宋体" w:cs="宋体"/>
          <w:b/>
          <w:color w:val="auto"/>
          <w:sz w:val="21"/>
          <w:szCs w:val="21"/>
          <w:highlight w:val="none"/>
        </w:rPr>
        <w:t xml:space="preserve">各标段服务要求</w:t>
      </w:r>
      <w:r/>
    </w:p>
    <w:p>
      <w:pPr>
        <w:pStyle w:val="955"/>
        <w:contextualSpacing/>
        <w:ind w:firstLine="480"/>
        <w:jc w:val="center"/>
        <w:spacing w:line="360" w:lineRule="auto"/>
        <w:rPr>
          <w:rFonts w:hint="eastAsia" w:ascii="宋体" w:hAnsi="宋体" w:eastAsia="宋体" w:cs="宋体"/>
          <w:color w:val="auto"/>
          <w:sz w:val="21"/>
          <w:szCs w:val="21"/>
          <w:highlight w:val="none"/>
        </w:rPr>
      </w:pP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3749040" cy="3662045"/>
                <wp:effectExtent l="0" t="0" r="0" b="10795"/>
                <wp:docPr id="4" name="图片 1" descr="78c4a2f813fdd4a5d1e1f7b81a16ac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8c4a2f813fdd4a5d1e1f7b81a16ac29"/>
                        <pic:cNvPicPr>
                          <a:picLocks noChangeAspect="1"/>
                        </pic:cNvPicPr>
                        <pic:nvPr/>
                      </pic:nvPicPr>
                      <pic:blipFill>
                        <a:blip r:embed="rId15"/>
                        <a:stretch/>
                      </pic:blipFill>
                      <pic:spPr bwMode="auto">
                        <a:xfrm>
                          <a:off x="0" y="0"/>
                          <a:ext cx="3749040" cy="3662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95.2pt;height:288.3pt;mso-wrap-distance-left:0.0pt;mso-wrap-distance-top:0.0pt;mso-wrap-distance-right:0.0pt;mso-wrap-distance-bottom:0.0pt;" stroked="false">
                <v:path textboxrect="0,0,0,0"/>
                <v:imagedata r:id="rId15" o:title=""/>
              </v:shape>
            </w:pict>
          </mc:Fallback>
        </mc:AlternateContent>
      </w:r>
      <w:r/>
    </w:p>
    <w:p>
      <w:pPr>
        <w:pStyle w:val="955"/>
        <w:contextualSpacing/>
        <w:ind w:firstLine="0"/>
        <w:jc w:val="center"/>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 xml:space="preserve">附图一</w:t>
      </w:r>
      <w:r>
        <w:rPr>
          <w:rFonts w:hint="eastAsia" w:ascii="宋体" w:hAnsi="宋体" w:eastAsia="宋体" w:cs="宋体"/>
          <w:b w:val="0"/>
          <w:bCs/>
          <w:color w:val="auto"/>
          <w:sz w:val="21"/>
          <w:szCs w:val="21"/>
          <w:highlight w:val="none"/>
          <w:lang w:val="en-US" w:eastAsia="zh-CN"/>
        </w:rPr>
        <w:t xml:space="preserve"> 建设范围</w:t>
      </w:r>
      <w:r/>
    </w:p>
    <w:p>
      <w:pPr>
        <w:pStyle w:val="955"/>
        <w:contextualSpacing/>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标段一：</w:t>
      </w:r>
      <w:r/>
    </w:p>
    <w:p>
      <w:pPr>
        <w:pStyle w:val="955"/>
        <w:contextualSpacing/>
        <w:ind w:firstLine="42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在东太湖度假区（太湖新城）（主城区外）范围内，包含松陵街道（主城区外）、横扇街道及八坼街道，实施普查单元划分及调查、既有管线数据治理、既有管线数据升级、新增管线普查、翻档补录及数据检查等。</w:t>
      </w:r>
      <w:r/>
    </w:p>
    <w:p>
      <w:pPr>
        <w:pStyle w:val="955"/>
        <w:contextualSpacing/>
        <w:ind w:firstLine="42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（2）针对主城区、吴江高新区（盛泽镇）、汾湖高新区（黎里镇）及重要道路范围内的管线竣工测绘数据，实施普查单元划分、测绘数据整理入库、数据检查。</w:t>
      </w:r>
      <w:r/>
    </w:p>
    <w:p>
      <w:pPr>
        <w:pStyle w:val="955"/>
        <w:contextualSpacing/>
        <w:ind w:firstLine="420"/>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（3）牵头实施标段1、标段2的数据库检查、接边处理、整合建库、三维建模以及平台录入管理；牵头组织配合权属审图；开展方案数据检查等数据库功能优化工作。</w:t>
      </w:r>
      <w:r/>
    </w:p>
    <w:p>
      <w:pPr>
        <w:pStyle w:val="955"/>
        <w:contextualSpacing/>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标段二：</w:t>
      </w:r>
      <w:r/>
    </w:p>
    <w:p>
      <w:pPr>
        <w:pStyle w:val="953"/>
        <w:contextualSpacing/>
        <w:ind w:firstLine="420"/>
        <w:jc w:val="left"/>
        <w:spacing w:line="360" w:lineRule="auto"/>
        <w:widowControl/>
        <w:rPr>
          <w:rFonts w:hint="eastAsia" w:ascii="宋体" w:hAnsi="宋体" w:eastAsia="宋体" w:cs="宋体"/>
          <w:color w:val="auto"/>
          <w:sz w:val="21"/>
          <w:szCs w:val="21"/>
          <w:highlight w:val="none"/>
        </w:rPr>
      </w:pPr>
      <w:r/>
      <w:bookmarkStart w:id="74" w:name="OLE_LINK43"/>
      <w:r/>
      <w:bookmarkStart w:id="75" w:name="OLE_LINK44"/>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在平望镇</w:t>
      </w:r>
      <w:r>
        <w:rPr>
          <w:rFonts w:hint="eastAsia" w:ascii="宋体" w:hAnsi="宋体" w:eastAsia="宋体" w:cs="宋体"/>
          <w:color w:val="auto"/>
          <w:sz w:val="21"/>
          <w:szCs w:val="21"/>
          <w:highlight w:val="none"/>
          <w:lang w:eastAsia="zh-CN"/>
        </w:rPr>
        <w:t xml:space="preserve">、震泽镇</w:t>
      </w:r>
      <w:r>
        <w:rPr>
          <w:rFonts w:hint="eastAsia" w:ascii="宋体" w:hAnsi="宋体" w:eastAsia="宋体" w:cs="宋体"/>
          <w:color w:val="auto"/>
          <w:sz w:val="21"/>
          <w:szCs w:val="21"/>
          <w:highlight w:val="none"/>
        </w:rPr>
        <w:t xml:space="preserve">范围内，实施普查单元划分及调查、管线普查、翻档补录、数据</w:t>
      </w:r>
      <w:r>
        <w:rPr>
          <w:rFonts w:hint="eastAsia" w:ascii="宋体" w:hAnsi="宋体" w:cs="宋体"/>
          <w:color w:val="auto"/>
          <w:sz w:val="21"/>
          <w:szCs w:val="21"/>
          <w:highlight w:val="none"/>
          <w:lang w:val="en-US" w:eastAsia="zh-CN"/>
        </w:rPr>
        <w:t xml:space="preserve">检查等</w:t>
      </w:r>
      <w:r>
        <w:rPr>
          <w:rFonts w:hint="eastAsia" w:ascii="宋体" w:hAnsi="宋体" w:eastAsia="宋体" w:cs="宋体"/>
          <w:color w:val="auto"/>
          <w:sz w:val="21"/>
          <w:szCs w:val="21"/>
          <w:highlight w:val="none"/>
        </w:rPr>
        <w:t xml:space="preserve">。</w:t>
      </w:r>
      <w:r/>
    </w:p>
    <w:p>
      <w:pPr>
        <w:pStyle w:val="953"/>
        <w:contextualSpacing/>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数据检查</w:t>
      </w:r>
      <w:r>
        <w:rPr>
          <w:rFonts w:hint="eastAsia" w:ascii="宋体" w:hAnsi="宋体" w:eastAsia="宋体" w:cs="宋体"/>
          <w:color w:val="auto"/>
          <w:sz w:val="21"/>
          <w:szCs w:val="21"/>
          <w:highlight w:val="none"/>
        </w:rPr>
        <w:t xml:space="preserve">完成后将管线数据</w:t>
      </w:r>
      <w:r>
        <w:rPr>
          <w:rFonts w:hint="eastAsia" w:ascii="宋体" w:hAnsi="宋体" w:cs="宋体"/>
          <w:color w:val="auto"/>
          <w:sz w:val="21"/>
          <w:szCs w:val="21"/>
          <w:highlight w:val="none"/>
          <w:lang w:val="en-US" w:eastAsia="zh-CN"/>
        </w:rPr>
        <w:t xml:space="preserve">提交</w:t>
      </w:r>
      <w:r>
        <w:rPr>
          <w:rFonts w:hint="eastAsia" w:ascii="宋体" w:hAnsi="宋体" w:eastAsia="宋体" w:cs="宋体"/>
          <w:color w:val="auto"/>
          <w:sz w:val="21"/>
          <w:szCs w:val="21"/>
          <w:highlight w:val="none"/>
        </w:rPr>
        <w:t xml:space="preserve">采购单位进行数据入库，并针对采购单位反馈的数据质量问题及时进行修改完善。</w:t>
      </w:r>
      <w:bookmarkEnd w:id="74"/>
      <w:r/>
      <w:bookmarkEnd w:id="75"/>
      <w:r/>
      <w:r/>
    </w:p>
    <w:p>
      <w:pPr>
        <w:pStyle w:val="953"/>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（六）技术要求</w:t>
      </w:r>
      <w:r/>
    </w:p>
    <w:p>
      <w:pPr>
        <w:pStyle w:val="953"/>
        <w:ind w:firstLine="422"/>
        <w:jc w:val="left"/>
        <w:spacing w:line="360" w:lineRule="auto"/>
        <w:rPr>
          <w:rFonts w:hint="eastAsia" w:ascii="宋体" w:hAnsi="宋体" w:eastAsia="宋体" w:cs="宋体"/>
          <w:b/>
          <w:bCs/>
          <w:iCs/>
          <w:color w:val="auto"/>
          <w:sz w:val="21"/>
          <w:szCs w:val="21"/>
          <w:highlight w:val="none"/>
        </w:rPr>
      </w:pPr>
      <w:r>
        <w:rPr>
          <w:rFonts w:hint="eastAsia" w:ascii="宋体" w:hAnsi="宋体" w:eastAsia="宋体" w:cs="宋体"/>
          <w:b/>
          <w:bCs/>
          <w:iCs/>
          <w:color w:val="auto"/>
          <w:sz w:val="21"/>
          <w:szCs w:val="21"/>
          <w:highlight w:val="none"/>
          <w:lang w:eastAsia="zh-CN"/>
        </w:rPr>
        <w:t xml:space="preserve">1.</w:t>
      </w:r>
      <w:r>
        <w:rPr>
          <w:rFonts w:hint="eastAsia" w:ascii="宋体" w:hAnsi="宋体" w:eastAsia="宋体" w:cs="宋体"/>
          <w:b/>
          <w:bCs/>
          <w:iCs/>
          <w:color w:val="auto"/>
          <w:sz w:val="21"/>
          <w:szCs w:val="21"/>
          <w:highlight w:val="none"/>
        </w:rPr>
        <w:t xml:space="preserve">时空基准</w:t>
      </w:r>
      <w:r/>
    </w:p>
    <w:p>
      <w:pPr>
        <w:pStyle w:val="953"/>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（1）坐标系统：采用2000国家大地坐标系（CGCS2000）。</w:t>
      </w:r>
      <w:r/>
    </w:p>
    <w:p>
      <w:pPr>
        <w:pStyle w:val="953"/>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（2）高程基准：1985国家高程基准。</w:t>
      </w:r>
      <w:r/>
    </w:p>
    <w:p>
      <w:pPr>
        <w:pStyle w:val="953"/>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（3）投影方式：采用3度分带的高斯-克吕格投影，中央子午线120度。</w:t>
      </w:r>
      <w:r/>
    </w:p>
    <w:p>
      <w:pPr>
        <w:pStyle w:val="953"/>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（4）时间基准：公元纪年和北京时间。</w:t>
      </w:r>
      <w:r/>
    </w:p>
    <w:p>
      <w:pPr>
        <w:pStyle w:val="953"/>
        <w:ind w:firstLine="422"/>
        <w:jc w:val="left"/>
        <w:spacing w:line="360" w:lineRule="auto"/>
        <w:rPr>
          <w:rFonts w:hint="eastAsia" w:ascii="宋体" w:hAnsi="宋体" w:eastAsia="宋体" w:cs="宋体"/>
          <w:b/>
          <w:bCs/>
          <w:iCs/>
          <w:color w:val="auto"/>
          <w:sz w:val="21"/>
          <w:szCs w:val="21"/>
          <w:highlight w:val="none"/>
        </w:rPr>
      </w:pPr>
      <w:r>
        <w:rPr>
          <w:rFonts w:hint="eastAsia" w:ascii="宋体" w:hAnsi="宋体" w:eastAsia="宋体" w:cs="宋体"/>
          <w:b/>
          <w:bCs/>
          <w:iCs/>
          <w:color w:val="auto"/>
          <w:sz w:val="21"/>
          <w:szCs w:val="21"/>
          <w:highlight w:val="none"/>
          <w:lang w:eastAsia="zh-CN"/>
        </w:rPr>
        <w:t xml:space="preserve">2.</w:t>
      </w:r>
      <w:r>
        <w:rPr>
          <w:rFonts w:hint="eastAsia" w:ascii="宋体" w:hAnsi="宋体" w:eastAsia="宋体" w:cs="宋体"/>
          <w:b/>
          <w:bCs/>
          <w:iCs/>
          <w:color w:val="auto"/>
          <w:sz w:val="21"/>
          <w:szCs w:val="21"/>
          <w:highlight w:val="none"/>
        </w:rPr>
        <w:t xml:space="preserve">政策依据</w:t>
      </w:r>
      <w:r/>
    </w:p>
    <w:p>
      <w:pPr>
        <w:pStyle w:val="953"/>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《江苏省测绘地理信息条例》</w:t>
      </w:r>
      <w:r>
        <w:rPr>
          <w:rFonts w:hint="eastAsia" w:ascii="宋体" w:hAnsi="宋体" w:eastAsia="宋体" w:cs="宋体"/>
          <w:color w:val="auto"/>
          <w:sz w:val="21"/>
          <w:szCs w:val="21"/>
          <w:highlight w:val="none"/>
        </w:rPr>
        <w:t xml:space="preserve">（江苏省第十二届人民代表大会常务委员会公告第70号）；</w:t>
      </w:r>
      <w:r/>
    </w:p>
    <w:p>
      <w:pPr>
        <w:pStyle w:val="953"/>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（2）《关于加强城市地下市政基础设施建设的指导意见》（建城〔2020〕J111号）；</w:t>
      </w:r>
      <w:r/>
    </w:p>
    <w:p>
      <w:pPr>
        <w:pStyle w:val="953"/>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（3）《城市市政基础设施普查和综合管理信息平台建设工作指导手册》（建办城函 (〔2021〕J208号）；</w:t>
      </w:r>
      <w:r/>
    </w:p>
    <w:p>
      <w:pPr>
        <w:pStyle w:val="953"/>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（4）《关于印发〈江苏省加强城市地下市政基础设施建设工作方案〉的通知》（苏建城〔2021〕71号）；</w:t>
      </w:r>
      <w:r/>
    </w:p>
    <w:p>
      <w:pPr>
        <w:pStyle w:val="953"/>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（5）《江苏省房屋建筑和市政设施调查工作细则（正文）》；</w:t>
      </w:r>
      <w:r/>
    </w:p>
    <w:p>
      <w:pPr>
        <w:pStyle w:val="953"/>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（6）《关于印发&lt;苏州市加强城市地下市政基础设施建设工作方案&gt;的通知》（苏府办〔2021〕194号）；</w:t>
      </w:r>
      <w:r/>
    </w:p>
    <w:p>
      <w:pPr>
        <w:pStyle w:val="953"/>
        <w:ind w:firstLine="422"/>
        <w:jc w:val="left"/>
        <w:spacing w:line="360" w:lineRule="auto"/>
        <w:rPr>
          <w:rFonts w:hint="eastAsia" w:ascii="宋体" w:hAnsi="宋体" w:eastAsia="宋体" w:cs="宋体"/>
          <w:b/>
          <w:iCs/>
          <w:color w:val="auto"/>
          <w:sz w:val="21"/>
          <w:szCs w:val="21"/>
          <w:highlight w:val="none"/>
        </w:rPr>
      </w:pPr>
      <w:r>
        <w:rPr>
          <w:rFonts w:hint="eastAsia" w:ascii="宋体" w:hAnsi="宋体" w:eastAsia="宋体" w:cs="宋体"/>
          <w:b/>
          <w:iCs/>
          <w:color w:val="auto"/>
          <w:sz w:val="21"/>
          <w:szCs w:val="21"/>
          <w:highlight w:val="none"/>
          <w:lang w:eastAsia="zh-CN"/>
        </w:rPr>
        <w:t xml:space="preserve">3.</w:t>
      </w:r>
      <w:r>
        <w:rPr>
          <w:rFonts w:hint="eastAsia" w:ascii="宋体" w:hAnsi="宋体" w:eastAsia="宋体" w:cs="宋体"/>
          <w:b/>
          <w:iCs/>
          <w:color w:val="auto"/>
          <w:sz w:val="21"/>
          <w:szCs w:val="21"/>
          <w:highlight w:val="none"/>
        </w:rPr>
        <w:t xml:space="preserve">技术标准</w:t>
      </w:r>
      <w:r/>
    </w:p>
    <w:p>
      <w:pPr>
        <w:pStyle w:val="953"/>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（1）《城市地下空间测绘规范》GB/T 35636-2017；</w:t>
      </w:r>
      <w:r/>
    </w:p>
    <w:p>
      <w:pPr>
        <w:pStyle w:val="953"/>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（2）《卫星导航定位基准站网络实时动态测量(RTK)规范》GB/T 39616-2020；</w:t>
      </w:r>
      <w:r/>
    </w:p>
    <w:p>
      <w:pPr>
        <w:pStyle w:val="953"/>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（3）《工程测量标准》GB 50026-2020；</w:t>
      </w:r>
      <w:r/>
    </w:p>
    <w:p>
      <w:pPr>
        <w:pStyle w:val="953"/>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（4）《基础地理信息城市数据库建设规范》GB/T 21740-2008；</w:t>
      </w:r>
      <w:r/>
    </w:p>
    <w:p>
      <w:pPr>
        <w:pStyle w:val="953"/>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（5）《数字测绘成果质量检查与验收》GB/T 18316-2008；</w:t>
      </w:r>
      <w:r/>
    </w:p>
    <w:p>
      <w:pPr>
        <w:pStyle w:val="953"/>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（6）《测绘成果质量检查与验收》GB/T 24356-2009；</w:t>
      </w:r>
      <w:r/>
    </w:p>
    <w:p>
      <w:pPr>
        <w:pStyle w:val="953"/>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（7）《卫星定位城市测量技术标准》CJJ/T 73-2019；</w:t>
      </w:r>
      <w:r/>
    </w:p>
    <w:p>
      <w:pPr>
        <w:pStyle w:val="953"/>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（8）《管线要素分类代码与符号表达》CH/T 1036-2015；</w:t>
      </w:r>
      <w:r/>
    </w:p>
    <w:p>
      <w:pPr>
        <w:pStyle w:val="953"/>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（9）《管线测绘技术规程》CH/T 6002-2015；</w:t>
      </w:r>
      <w:r/>
    </w:p>
    <w:p>
      <w:pPr>
        <w:pStyle w:val="953"/>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（10）《城市测量规范》CJJ/T 8-2011；</w:t>
      </w:r>
      <w:r/>
    </w:p>
    <w:p>
      <w:pPr>
        <w:pStyle w:val="953"/>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（11）《城市地下管线探测技术规程》CJJ 61-2017；</w:t>
      </w:r>
      <w:r/>
    </w:p>
    <w:p>
      <w:pPr>
        <w:pStyle w:val="953"/>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（12）《苏州市地下市政基础设施数据归集标准（暂行）》。</w:t>
      </w:r>
      <w:r/>
    </w:p>
    <w:p>
      <w:pPr>
        <w:pStyle w:val="953"/>
        <w:ind w:firstLine="422"/>
        <w:jc w:val="left"/>
        <w:spacing w:line="360" w:lineRule="auto"/>
        <w:rPr>
          <w:rFonts w:hint="eastAsia" w:ascii="宋体" w:hAnsi="宋体" w:eastAsia="宋体" w:cs="宋体"/>
          <w:b/>
          <w:iCs/>
          <w:color w:val="auto"/>
          <w:sz w:val="21"/>
          <w:szCs w:val="21"/>
          <w:highlight w:val="none"/>
        </w:rPr>
      </w:pPr>
      <w:r>
        <w:rPr>
          <w:rFonts w:hint="eastAsia" w:ascii="宋体" w:hAnsi="宋体" w:eastAsia="宋体" w:cs="宋体"/>
          <w:b/>
          <w:iCs/>
          <w:color w:val="auto"/>
          <w:sz w:val="21"/>
          <w:szCs w:val="21"/>
          <w:highlight w:val="none"/>
          <w:lang w:eastAsia="zh-CN"/>
        </w:rPr>
        <w:t xml:space="preserve">4.</w:t>
      </w:r>
      <w:r>
        <w:rPr>
          <w:rFonts w:hint="eastAsia" w:ascii="宋体" w:hAnsi="宋体" w:eastAsia="宋体" w:cs="宋体"/>
          <w:b/>
          <w:iCs/>
          <w:color w:val="auto"/>
          <w:sz w:val="21"/>
          <w:szCs w:val="21"/>
          <w:highlight w:val="none"/>
        </w:rPr>
        <w:t xml:space="preserve">技术指标</w:t>
      </w:r>
      <w:r/>
    </w:p>
    <w:p>
      <w:pPr>
        <w:pStyle w:val="953"/>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（1）普查单元技术指标</w:t>
      </w:r>
      <w:r/>
    </w:p>
    <w:p>
      <w:pPr>
        <w:ind w:firstLine="420"/>
        <w:jc w:val="left"/>
        <w:spacing w:line="360" w:lineRule="auto"/>
        <w:rPr>
          <w:rFonts w:hint="eastAsia" w:ascii="宋体" w:hAnsi="宋体" w:eastAsia="宋体" w:cs="宋体"/>
          <w:bCs/>
          <w:color w:val="auto"/>
          <w:position w:val="6"/>
          <w:sz w:val="21"/>
          <w:szCs w:val="21"/>
          <w:highlight w:val="none"/>
        </w:rPr>
      </w:pPr>
      <w:r>
        <w:rPr>
          <w:rFonts w:hint="eastAsia" w:ascii="宋体" w:hAnsi="宋体" w:eastAsia="宋体" w:cs="宋体"/>
          <w:bCs/>
          <w:color w:val="auto"/>
          <w:position w:val="6"/>
          <w:sz w:val="21"/>
          <w:szCs w:val="21"/>
          <w:highlight w:val="none"/>
        </w:rPr>
        <w:t xml:space="preserve">①普查单元的划分合理，属性完整、准确，各普查单元无缝衔接，全面覆盖普查区域。</w:t>
      </w:r>
      <w:r/>
    </w:p>
    <w:p>
      <w:pPr>
        <w:ind w:firstLine="420"/>
        <w:jc w:val="left"/>
        <w:spacing w:line="360" w:lineRule="auto"/>
        <w:rPr>
          <w:rFonts w:hint="eastAsia" w:ascii="宋体" w:hAnsi="宋体" w:eastAsia="宋体" w:cs="宋体"/>
          <w:bCs/>
          <w:color w:val="auto"/>
          <w:position w:val="6"/>
          <w:sz w:val="21"/>
          <w:szCs w:val="21"/>
          <w:highlight w:val="none"/>
        </w:rPr>
      </w:pPr>
      <w:r>
        <w:rPr>
          <w:rFonts w:hint="eastAsia" w:ascii="宋体" w:hAnsi="宋体" w:eastAsia="宋体" w:cs="宋体"/>
          <w:bCs/>
          <w:color w:val="auto"/>
          <w:position w:val="6"/>
          <w:sz w:val="21"/>
          <w:szCs w:val="21"/>
          <w:highlight w:val="none"/>
        </w:rPr>
        <w:t xml:space="preserve">②普查单元的编码规范，范围内普查单元的编号与第一次全国自然灾害综合风险普查项目的编号保持一致，范围外普查单元的编号唯一不重复。</w:t>
      </w:r>
      <w:r/>
    </w:p>
    <w:p>
      <w:pPr>
        <w:ind w:firstLine="420"/>
        <w:jc w:val="left"/>
        <w:spacing w:line="360" w:lineRule="auto"/>
        <w:rPr>
          <w:rFonts w:hint="eastAsia" w:ascii="宋体" w:hAnsi="宋体" w:eastAsia="宋体" w:cs="宋体"/>
          <w:bCs/>
          <w:color w:val="auto"/>
          <w:position w:val="6"/>
          <w:sz w:val="21"/>
          <w:szCs w:val="21"/>
          <w:highlight w:val="none"/>
        </w:rPr>
      </w:pPr>
      <w:r>
        <w:rPr>
          <w:rFonts w:hint="eastAsia" w:ascii="宋体" w:hAnsi="宋体" w:eastAsia="宋体" w:cs="宋体"/>
          <w:bCs/>
          <w:color w:val="auto"/>
          <w:position w:val="6"/>
          <w:sz w:val="21"/>
          <w:szCs w:val="21"/>
          <w:highlight w:val="none"/>
        </w:rPr>
        <w:t xml:space="preserve">（2）地下管线数据技术指标</w:t>
      </w:r>
      <w:r/>
    </w:p>
    <w:p>
      <w:pPr>
        <w:ind w:firstLine="420"/>
        <w:jc w:val="left"/>
        <w:spacing w:line="360" w:lineRule="auto"/>
        <w:rPr>
          <w:rFonts w:hint="eastAsia" w:ascii="宋体" w:hAnsi="宋体" w:eastAsia="宋体" w:cs="宋体"/>
          <w:bCs/>
          <w:color w:val="auto"/>
          <w:position w:val="6"/>
          <w:sz w:val="21"/>
          <w:szCs w:val="21"/>
          <w:highlight w:val="none"/>
        </w:rPr>
      </w:pPr>
      <w:r>
        <w:rPr>
          <w:rFonts w:hint="eastAsia" w:ascii="宋体" w:hAnsi="宋体" w:eastAsia="宋体" w:cs="宋体"/>
          <w:bCs/>
          <w:color w:val="auto"/>
          <w:position w:val="6"/>
          <w:sz w:val="21"/>
          <w:szCs w:val="21"/>
          <w:highlight w:val="none"/>
        </w:rPr>
        <w:t xml:space="preserve">①管线点探查精度</w:t>
      </w:r>
      <w:r/>
    </w:p>
    <w:p>
      <w:pPr>
        <w:ind w:firstLine="420"/>
        <w:jc w:val="left"/>
        <w:spacing w:line="360" w:lineRule="auto"/>
        <w:rPr>
          <w:rFonts w:hint="eastAsia" w:ascii="宋体" w:hAnsi="宋体" w:eastAsia="宋体" w:cs="宋体"/>
          <w:bCs/>
          <w:color w:val="auto"/>
          <w:position w:val="6"/>
          <w:sz w:val="21"/>
          <w:szCs w:val="21"/>
          <w:highlight w:val="none"/>
        </w:rPr>
      </w:pPr>
      <w:r>
        <w:rPr>
          <w:rFonts w:hint="eastAsia" w:ascii="宋体" w:hAnsi="宋体" w:eastAsia="宋体" w:cs="宋体"/>
          <w:bCs/>
          <w:color w:val="auto"/>
          <w:position w:val="6"/>
          <w:sz w:val="21"/>
          <w:szCs w:val="21"/>
          <w:highlight w:val="none"/>
        </w:rPr>
        <w:t xml:space="preserve">明显管线点埋深量测中误差不大于25mm；隐蔽管线点探查平面位置中误差不大于0.05h，埋深中误差不大于0.075h，其中h为管线中心埋深，单位为mm，当h＜1000mm时以1000mm代入计算。 </w:t>
      </w:r>
      <w:r/>
    </w:p>
    <w:p>
      <w:pPr>
        <w:ind w:firstLine="420"/>
        <w:jc w:val="left"/>
        <w:spacing w:line="360" w:lineRule="auto"/>
        <w:rPr>
          <w:rFonts w:hint="eastAsia" w:ascii="宋体" w:hAnsi="宋体" w:eastAsia="宋体" w:cs="宋体"/>
          <w:bCs/>
          <w:color w:val="auto"/>
          <w:position w:val="6"/>
          <w:sz w:val="21"/>
          <w:szCs w:val="21"/>
          <w:highlight w:val="none"/>
        </w:rPr>
      </w:pPr>
      <w:r>
        <w:rPr>
          <w:rFonts w:hint="eastAsia" w:ascii="宋体" w:hAnsi="宋体" w:eastAsia="宋体" w:cs="宋体"/>
          <w:bCs/>
          <w:color w:val="auto"/>
          <w:position w:val="6"/>
          <w:sz w:val="21"/>
          <w:szCs w:val="21"/>
          <w:highlight w:val="none"/>
        </w:rPr>
        <w:t xml:space="preserve">②管线点测量精度</w:t>
      </w:r>
      <w:r/>
    </w:p>
    <w:p>
      <w:pPr>
        <w:ind w:firstLine="420"/>
        <w:jc w:val="left"/>
        <w:spacing w:line="360" w:lineRule="auto"/>
        <w:rPr>
          <w:rFonts w:hint="eastAsia" w:ascii="宋体" w:hAnsi="宋体" w:eastAsia="宋体" w:cs="宋体"/>
          <w:bCs/>
          <w:color w:val="auto"/>
          <w:position w:val="6"/>
          <w:sz w:val="21"/>
          <w:szCs w:val="21"/>
          <w:highlight w:val="none"/>
        </w:rPr>
      </w:pPr>
      <w:r>
        <w:rPr>
          <w:rFonts w:hint="eastAsia" w:ascii="宋体" w:hAnsi="宋体" w:eastAsia="宋体" w:cs="宋体"/>
          <w:bCs/>
          <w:color w:val="auto"/>
          <w:position w:val="6"/>
          <w:sz w:val="21"/>
          <w:szCs w:val="21"/>
          <w:highlight w:val="none"/>
        </w:rPr>
        <w:t xml:space="preserve">管线点平面位置测量中误差不大于50mm；高程测量中误差不大于30mm。</w:t>
      </w:r>
      <w:r/>
    </w:p>
    <w:p>
      <w:pPr>
        <w:ind w:firstLine="420"/>
        <w:jc w:val="left"/>
        <w:spacing w:line="360" w:lineRule="auto"/>
        <w:rPr>
          <w:rFonts w:hint="eastAsia" w:ascii="宋体" w:hAnsi="宋体" w:eastAsia="宋体" w:cs="宋体"/>
          <w:bCs/>
          <w:color w:val="auto"/>
          <w:position w:val="6"/>
          <w:sz w:val="21"/>
          <w:szCs w:val="21"/>
          <w:highlight w:val="none"/>
        </w:rPr>
      </w:pPr>
      <w:r>
        <w:rPr>
          <w:rFonts w:hint="eastAsia" w:ascii="宋体" w:hAnsi="宋体" w:eastAsia="宋体" w:cs="宋体"/>
          <w:bCs/>
          <w:color w:val="auto"/>
          <w:position w:val="6"/>
          <w:sz w:val="21"/>
          <w:szCs w:val="21"/>
          <w:highlight w:val="none"/>
        </w:rPr>
        <w:t xml:space="preserve">具体要求参照《城市地下管线探测技术规程》CJJ 61-2017。</w:t>
      </w:r>
      <w:r/>
    </w:p>
    <w:p>
      <w:pPr>
        <w:ind w:firstLine="420"/>
        <w:jc w:val="left"/>
        <w:spacing w:line="360" w:lineRule="auto"/>
        <w:rPr>
          <w:rFonts w:hint="eastAsia" w:ascii="宋体" w:hAnsi="宋体" w:eastAsia="宋体" w:cs="宋体"/>
          <w:bCs/>
          <w:color w:val="auto"/>
          <w:position w:val="6"/>
          <w:sz w:val="21"/>
          <w:szCs w:val="21"/>
          <w:highlight w:val="none"/>
        </w:rPr>
      </w:pPr>
      <w:r>
        <w:rPr>
          <w:rFonts w:hint="eastAsia" w:ascii="宋体" w:hAnsi="宋体" w:eastAsia="宋体" w:cs="宋体"/>
          <w:bCs/>
          <w:color w:val="auto"/>
          <w:position w:val="6"/>
          <w:sz w:val="21"/>
          <w:szCs w:val="21"/>
          <w:highlight w:val="none"/>
        </w:rPr>
        <w:t xml:space="preserve">③数据属性精度</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position w:val="6"/>
          <w:sz w:val="21"/>
          <w:szCs w:val="21"/>
          <w:highlight w:val="none"/>
        </w:rPr>
        <w:t xml:space="preserve">管线探测应查明管线的平面位置、高程、埋深（高程）、走向（流向）、规格、材质、管线性质、埋设年代、权属单位以及管线附属构筑物信息，并编绘以地形图为载体的地下管线图（综合管线图和专业管线图）。</w:t>
      </w:r>
      <w:r/>
    </w:p>
    <w:p>
      <w:pPr>
        <w:ind w:firstLine="422"/>
        <w:jc w:val="left"/>
        <w:spacing w:line="360" w:lineRule="auto"/>
        <w:widowControl/>
        <w:rPr>
          <w:rFonts w:hint="eastAsia" w:ascii="宋体" w:hAnsi="宋体" w:eastAsia="宋体" w:cs="宋体"/>
          <w:b/>
          <w:bCs/>
          <w:iCs/>
          <w:color w:val="auto"/>
          <w:sz w:val="21"/>
          <w:szCs w:val="21"/>
          <w:highlight w:val="none"/>
        </w:rPr>
      </w:pPr>
      <w:r>
        <w:rPr>
          <w:rFonts w:hint="eastAsia" w:ascii="宋体" w:hAnsi="宋体" w:eastAsia="宋体" w:cs="宋体"/>
          <w:b/>
          <w:bCs/>
          <w:iCs/>
          <w:color w:val="auto"/>
          <w:sz w:val="21"/>
          <w:szCs w:val="21"/>
          <w:highlight w:val="none"/>
          <w:lang w:eastAsia="zh-CN"/>
        </w:rPr>
        <w:t xml:space="preserve">5.</w:t>
      </w:r>
      <w:r>
        <w:rPr>
          <w:rFonts w:hint="eastAsia" w:ascii="宋体" w:hAnsi="宋体" w:eastAsia="宋体" w:cs="宋体"/>
          <w:b/>
          <w:bCs/>
          <w:iCs/>
          <w:color w:val="auto"/>
          <w:sz w:val="21"/>
          <w:szCs w:val="21"/>
          <w:highlight w:val="none"/>
        </w:rPr>
        <w:t xml:space="preserve">成果内容及规格</w:t>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（1）成果内容及数量，详见表1。</w:t>
      </w:r>
      <w:r/>
    </w:p>
    <w:p>
      <w:pPr>
        <w:jc w:val="cente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表1 项目成果清单</w:t>
      </w:r>
      <w:r/>
    </w:p>
    <w:tbl>
      <w:tblPr>
        <w:tblStyle w:val="95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562"/>
        <w:gridCol w:w="3207"/>
        <w:gridCol w:w="3641"/>
      </w:tblGrid>
      <w:tr>
        <w:trPr>
          <w:trHeight w:val="454"/>
          <w:tblHeader/>
        </w:trPr>
        <w:tc>
          <w:tcPr>
            <w:shd w:val="clear" w:color="auto" w:fill="f2f2f2"/>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shd w:val="clear" w:color="auto" w:fill="f2f2f2"/>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成果类别</w:t>
            </w:r>
            <w:r/>
          </w:p>
        </w:tc>
        <w:tc>
          <w:tcPr>
            <w:shd w:val="clear" w:color="auto" w:fill="f2f2f2"/>
            <w:tcBorders>
              <w:top w:val="single" w:color="auto" w:sz="4" w:space="0"/>
              <w:left w:val="single" w:color="auto" w:sz="4" w:space="0"/>
              <w:bottom w:val="single" w:color="auto" w:sz="4" w:space="0"/>
              <w:right w:val="single" w:color="auto" w:sz="4" w:space="0"/>
            </w:tcBorders>
            <w:tcW w:w="173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成果名称</w:t>
            </w:r>
            <w:r/>
          </w:p>
        </w:tc>
        <w:tc>
          <w:tcPr>
            <w:shd w:val="clear" w:color="auto" w:fill="f2f2f2"/>
            <w:tcBorders>
              <w:top w:val="single" w:color="auto" w:sz="4" w:space="0"/>
              <w:left w:val="single" w:color="auto" w:sz="4" w:space="0"/>
              <w:bottom w:val="single" w:color="auto" w:sz="4" w:space="0"/>
              <w:right w:val="single" w:color="auto" w:sz="4" w:space="0"/>
            </w:tcBorders>
            <w:tcW w:w="19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数量及规格</w:t>
            </w:r>
            <w:r/>
          </w:p>
        </w:tc>
      </w:tr>
      <w:tr>
        <w:trPr>
          <w:trHeight w:val="454"/>
        </w:trPr>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45"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文字资料</w:t>
            </w:r>
            <w:r/>
          </w:p>
        </w:tc>
        <w:tc>
          <w:tcPr>
            <w:tcBorders>
              <w:top w:val="single" w:color="auto" w:sz="4" w:space="0"/>
              <w:left w:val="single" w:color="auto" w:sz="4" w:space="0"/>
              <w:bottom w:val="single" w:color="auto" w:sz="4" w:space="0"/>
              <w:right w:val="single" w:color="auto" w:sz="4" w:space="0"/>
            </w:tcBorders>
            <w:tcW w:w="173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项目技术设计书</w:t>
            </w:r>
            <w:r/>
          </w:p>
        </w:tc>
        <w:tc>
          <w:tcPr>
            <w:tcBorders>
              <w:top w:val="single" w:color="auto" w:sz="4" w:space="0"/>
              <w:left w:val="single" w:color="auto" w:sz="4" w:space="0"/>
              <w:bottom w:val="single" w:color="auto" w:sz="4" w:space="0"/>
              <w:right w:val="single" w:color="auto" w:sz="4" w:space="0"/>
            </w:tcBorders>
            <w:tcW w:w="19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纸质</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份，PDF电子版</w:t>
            </w:r>
            <w:r/>
          </w:p>
        </w:tc>
      </w:tr>
      <w:tr>
        <w:trPr>
          <w:trHeight w:val="454"/>
        </w:trPr>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3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项目技术总结</w:t>
            </w:r>
            <w:r/>
          </w:p>
        </w:tc>
        <w:tc>
          <w:tcPr>
            <w:tcBorders>
              <w:top w:val="single" w:color="auto" w:sz="4" w:space="0"/>
              <w:left w:val="single" w:color="auto" w:sz="4" w:space="0"/>
              <w:bottom w:val="single" w:color="auto" w:sz="4" w:space="0"/>
              <w:right w:val="single" w:color="auto" w:sz="4" w:space="0"/>
            </w:tcBorders>
            <w:tcW w:w="19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纸质</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份，PDF电子版</w:t>
            </w:r>
            <w:r/>
          </w:p>
        </w:tc>
      </w:tr>
      <w:tr>
        <w:trPr>
          <w:trHeight w:val="454"/>
        </w:trPr>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3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质量检查报告</w:t>
            </w:r>
            <w:r/>
          </w:p>
        </w:tc>
        <w:tc>
          <w:tcPr>
            <w:tcBorders>
              <w:top w:val="single" w:color="auto" w:sz="4" w:space="0"/>
              <w:left w:val="single" w:color="auto" w:sz="4" w:space="0"/>
              <w:bottom w:val="single" w:color="auto" w:sz="4" w:space="0"/>
              <w:right w:val="single" w:color="auto" w:sz="4" w:space="0"/>
            </w:tcBorders>
            <w:tcW w:w="19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纸质2份，PDF电子版</w:t>
            </w:r>
            <w:r/>
          </w:p>
        </w:tc>
      </w:tr>
      <w:tr>
        <w:trPr>
          <w:trHeight w:val="454"/>
        </w:trPr>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3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仪器一致性校验报告</w:t>
            </w:r>
            <w:r/>
          </w:p>
        </w:tc>
        <w:tc>
          <w:tcPr>
            <w:tcBorders>
              <w:top w:val="single" w:color="auto" w:sz="4" w:space="0"/>
              <w:left w:val="single" w:color="auto" w:sz="4" w:space="0"/>
              <w:bottom w:val="single" w:color="auto" w:sz="4" w:space="0"/>
              <w:right w:val="single" w:color="auto" w:sz="4" w:space="0"/>
            </w:tcBorders>
            <w:tcW w:w="19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纸质2份，PDF电子版</w:t>
            </w:r>
            <w:r/>
          </w:p>
        </w:tc>
      </w:tr>
      <w:tr>
        <w:trPr>
          <w:trHeight w:val="454"/>
        </w:trPr>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3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仪器校准证书</w:t>
            </w:r>
            <w:r/>
          </w:p>
        </w:tc>
        <w:tc>
          <w:tcPr>
            <w:tcBorders>
              <w:top w:val="single" w:color="auto" w:sz="4" w:space="0"/>
              <w:left w:val="single" w:color="auto" w:sz="4" w:space="0"/>
              <w:bottom w:val="single" w:color="auto" w:sz="4" w:space="0"/>
              <w:right w:val="single" w:color="auto" w:sz="4" w:space="0"/>
            </w:tcBorders>
            <w:tcW w:w="19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纸质2份，PDF电子版</w:t>
            </w:r>
            <w:r/>
          </w:p>
        </w:tc>
      </w:tr>
      <w:tr>
        <w:trPr>
          <w:trHeight w:val="454"/>
        </w:trPr>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845"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数据资料</w:t>
            </w:r>
            <w:r/>
          </w:p>
        </w:tc>
        <w:tc>
          <w:tcPr>
            <w:tcBorders>
              <w:top w:val="single" w:color="auto" w:sz="4" w:space="0"/>
              <w:left w:val="single" w:color="auto" w:sz="4" w:space="0"/>
              <w:bottom w:val="single" w:color="auto" w:sz="4" w:space="0"/>
              <w:right w:val="single" w:color="auto" w:sz="4" w:space="0"/>
            </w:tcBorders>
            <w:tcW w:w="173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地下管线数据库</w:t>
            </w:r>
            <w:r/>
          </w:p>
        </w:tc>
        <w:tc>
          <w:tcPr>
            <w:tcBorders>
              <w:top w:val="single" w:color="auto" w:sz="4" w:space="0"/>
              <w:left w:val="single" w:color="auto" w:sz="4" w:space="0"/>
              <w:bottom w:val="single" w:color="auto" w:sz="4" w:space="0"/>
              <w:right w:val="single" w:color="auto" w:sz="4" w:space="0"/>
            </w:tcBorders>
            <w:tcW w:w="19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GDB格式</w:t>
            </w:r>
            <w:r/>
          </w:p>
        </w:tc>
      </w:tr>
      <w:tr>
        <w:trPr>
          <w:trHeight w:val="454"/>
        </w:trPr>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3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地下管线三维模型</w:t>
            </w:r>
            <w:r/>
          </w:p>
        </w:tc>
        <w:tc>
          <w:tcPr>
            <w:tcBorders>
              <w:top w:val="single" w:color="auto" w:sz="4" w:space="0"/>
              <w:left w:val="single" w:color="auto" w:sz="4" w:space="0"/>
              <w:bottom w:val="single" w:color="auto" w:sz="4" w:space="0"/>
              <w:right w:val="single" w:color="auto" w:sz="4" w:space="0"/>
            </w:tcBorders>
            <w:tcW w:w="19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OBJ格式</w:t>
            </w:r>
            <w:r/>
          </w:p>
        </w:tc>
      </w:tr>
      <w:tr>
        <w:trPr>
          <w:trHeight w:val="454"/>
        </w:trPr>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电子资料</w:t>
            </w:r>
            <w:r/>
          </w:p>
        </w:tc>
        <w:tc>
          <w:tcPr>
            <w:tcBorders>
              <w:top w:val="single" w:color="auto" w:sz="4" w:space="0"/>
              <w:left w:val="single" w:color="auto" w:sz="4" w:space="0"/>
              <w:bottom w:val="single" w:color="auto" w:sz="4" w:space="0"/>
              <w:right w:val="single" w:color="auto" w:sz="4" w:space="0"/>
            </w:tcBorders>
            <w:tcW w:w="173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以上资料电子版</w:t>
            </w:r>
            <w:r/>
          </w:p>
        </w:tc>
        <w:tc>
          <w:tcPr>
            <w:tcBorders>
              <w:top w:val="single" w:color="auto" w:sz="4" w:space="0"/>
              <w:left w:val="single" w:color="auto" w:sz="4" w:space="0"/>
              <w:bottom w:val="single" w:color="auto" w:sz="4" w:space="0"/>
              <w:right w:val="single" w:color="auto" w:sz="4" w:space="0"/>
            </w:tcBorders>
            <w:tcW w:w="19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bl>
    <w:p>
      <w:pPr>
        <w:pStyle w:val="953"/>
        <w:ind w:firstLine="420"/>
        <w:jc w:val="both"/>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（2）主要成果规格</w:t>
      </w:r>
      <w:r/>
    </w:p>
    <w:p>
      <w:pPr>
        <w:pStyle w:val="953"/>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①地下管线数据库文件的格式为File Geodatabase（*.gdb），按照《归集标准》组织数据分层及属性结构，命名为“吴江区地下管线数据库.gdb”；</w:t>
      </w:r>
      <w:r/>
    </w:p>
    <w:p>
      <w:pPr>
        <w:pStyle w:val="953"/>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②普查单元成果，放入地下管线数据库，层名为“PCDY”；</w:t>
      </w:r>
      <w:r/>
    </w:p>
    <w:p>
      <w:pPr>
        <w:pStyle w:val="953"/>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③照片采用TIF格式，命名采用“普查单元_道路名称_2位流水号.tif”；</w:t>
      </w:r>
      <w:r/>
    </w:p>
    <w:p>
      <w:pPr>
        <w:pStyle w:val="953"/>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④地下管线三维模型采用通用开源格式OBJ,模型成果文件夹命名为“吴江区地下管线三维模型”。</w:t>
      </w:r>
      <w:r/>
    </w:p>
    <w:p>
      <w:pPr>
        <w:ind w:firstLine="422"/>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（七）质量要求</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中标单位按照通过最终成果检验的要求进行质量控制，质量保证措施应全面、具体、安全、合理、切实可行、责任明确。</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质量管理目标</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数据成果的质量管理目标是：成果质量合格率达到100%。</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质量管理内容及方式</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（1）过程质量控制</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加强建设任务生产过程质量检查，保障数据生产过程质量控制工作的有效性，配合国家和省级层面开展的过程质量抽查</w:t>
      </w:r>
      <w:r>
        <w:rPr>
          <w:rFonts w:hint="eastAsia" w:ascii="宋体" w:hAnsi="宋体" w:eastAsia="宋体" w:cs="宋体"/>
          <w:bCs/>
          <w:color w:val="auto"/>
          <w:sz w:val="21"/>
          <w:szCs w:val="21"/>
          <w:highlight w:val="none"/>
          <w:lang w:eastAsia="zh-CN"/>
        </w:rPr>
        <w:t xml:space="preserve">；必</w:t>
      </w:r>
      <w:r>
        <w:rPr>
          <w:rFonts w:hint="eastAsia" w:ascii="宋体" w:hAnsi="宋体" w:eastAsia="宋体" w:cs="宋体"/>
          <w:bCs/>
          <w:color w:val="auto"/>
          <w:sz w:val="21"/>
          <w:szCs w:val="21"/>
          <w:highlight w:val="none"/>
        </w:rPr>
        <w:t xml:space="preserve">须建立质量管理体系，明确质量控制关键环节和具体措施，保障过程质量控制贯彻于生产实施的全过程。</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（2）质量检查与验收</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数据成果应依次通过过程检查和最终检查，并形成检查报告，如实记录数据精度统计和质量等级统计等情况。建设成果须经具有省级及以上资质的测绘产品质量检验机构检验合格。</w:t>
      </w:r>
      <w:r/>
    </w:p>
    <w:p>
      <w:pPr>
        <w:ind w:firstLine="422"/>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（八）数据保密要求</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中标单位负责对采购单位所提供的全部资料及最终成果保密，中标单位（包含工作人员）需遵守采购单位的保密规定，不以任何形式将收集的所有资料、数据等进行泄漏、传播。</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项目服务人员需签署相关保密协议，承担本项目所涉工作中接触相关内容的保密义务。</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项目成果最终所有权，含过程中产生的、数据、资料等成果均归属采购单位，在项目完成时中标单位必须全部移交；不得未经采购单位同意进行数据加密。</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4.</w:t>
      </w:r>
      <w:r>
        <w:rPr>
          <w:rFonts w:hint="eastAsia" w:ascii="宋体" w:hAnsi="宋体" w:eastAsia="宋体" w:cs="宋体"/>
          <w:bCs/>
          <w:color w:val="auto"/>
          <w:sz w:val="21"/>
          <w:szCs w:val="21"/>
          <w:highlight w:val="none"/>
        </w:rPr>
        <w:t xml:space="preserve">中标单位须维护项目服务成果，不得转让给第三方重复使用。</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5.</w:t>
      </w:r>
      <w:r>
        <w:rPr>
          <w:rFonts w:hint="eastAsia" w:ascii="宋体" w:hAnsi="宋体" w:eastAsia="宋体" w:cs="宋体"/>
          <w:bCs/>
          <w:color w:val="auto"/>
          <w:sz w:val="21"/>
          <w:szCs w:val="21"/>
          <w:highlight w:val="none"/>
        </w:rPr>
        <w:t xml:space="preserve">以上保密规定如有违反，采购单位有权追究中标单位相关法律责任。</w:t>
      </w:r>
      <w:r/>
    </w:p>
    <w:p>
      <w:pPr>
        <w:ind w:firstLine="422"/>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（九）仪器设备投入要求</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中标单位应按照项目成果符合质量及进度要求配备必要的管线探测设备、仪器、计算机、车辆等，并投入到测区范围内使用，采购方有权对其进行检查和监督。</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在测区使用的仪器设备应按照有关要求进行检测并合格，不得使用未经年检或检验不合格的设备。</w:t>
      </w:r>
      <w:r/>
    </w:p>
    <w:p>
      <w:pPr>
        <w:ind w:firstLine="422"/>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（十）人员投入要求</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中标公告后3个工作日内，中标单位如无异议，应迅速组织工作人员进场，采购方也将按照程序尽快与中标单位签订合同。</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项目需设项目负责人，承诺的常驻人员未经采购方批准不得调离测区。</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合同生效后立即组建项目团队，选派具有丰富实践经验和良好沟通、协调能力的项目负责人。中标单位须为本项目配备项目负责人1名，技术负责人1名、项目组人员若干。拟投入的作业人员结构应合理，具有较强的作业和管理能力，并具有专业上岗证书，拟投入人数不得低于20人。</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4.</w:t>
      </w:r>
      <w:r>
        <w:rPr>
          <w:rFonts w:hint="eastAsia" w:ascii="宋体" w:hAnsi="宋体" w:eastAsia="宋体" w:cs="宋体"/>
          <w:bCs/>
          <w:color w:val="auto"/>
          <w:sz w:val="21"/>
          <w:szCs w:val="21"/>
          <w:highlight w:val="none"/>
        </w:rPr>
        <w:t xml:space="preserve">在服务期间原则上不得更换项目负责人，特殊情况确需更换的，应事先征得采购方批准。采购方有权要求中标单位撤换工作不负责任、管理不力、贻误工期和造成严重的安全事故和工程质量事故、违法乱纪的专业技术、管理人员及项目经理，直至采购方满意为止。如项目负责人及相应资质的专业技术人员未按要求配备到位，视作违约，采购方有权单方面终止合同。</w:t>
      </w:r>
      <w:r/>
    </w:p>
    <w:p>
      <w:pPr>
        <w:ind w:firstLine="422"/>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（十一）作业安全要求</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中标单位对自身的安全作业负主体责任。</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中标单位须承诺：在项目服务期间应制定项目安全实施管理措施，并严格遵守安全管理要求，中标单位在项目服务过程中因管理不当、维护措施不当等因素或不按安全管理要求，造成人员安全或财产损失事故的，其责任均由中标单位自行承担，采购单位不承担责任。与本项目有关的所有质量、安全问题均由中标单位终身负责，如因上述原因造成的一切后果均由中标单位自行承担，与他人无涉。</w:t>
      </w:r>
      <w:r/>
    </w:p>
    <w:p>
      <w:pPr>
        <w:ind w:firstLine="422"/>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（十二）知识产权</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中标单位应保证采购方免除且中标单位承担由于采购方在其本国使用该项目或项目任何一部分时而引起来自任意第三方提出的侵犯专利权、商标权或工业设计权等知识产权的起诉、行动、行政程序索赔、请求等以及采购方为此而产生的损失和损害、费用和支出（包括律师费）。</w:t>
      </w:r>
      <w:r/>
    </w:p>
    <w:p>
      <w:pPr>
        <w:ind w:firstLine="422"/>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（十三）服务质量保证及售后服务要求</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中标单位需严格按采购方规定的时间完成项目的全部工作内容，如在实施的过程中出现错误，误差，需负责及时更正直至采购方确认合格，中标方在项目进行过程中产生的任何安全、损坏等责任事故一律由中标单位自行承担。</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中标单位需提供必要的技术支持，协助采购方完成其他需要中标单位配合的服务。</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中标单位应严格遵守服务合约，项目完成以后，如采购方有需要中标单位配合的服务，中标单位</w:t>
      </w:r>
      <w:r>
        <w:rPr>
          <w:rFonts w:hint="eastAsia" w:ascii="宋体" w:hAnsi="宋体" w:eastAsia="宋体" w:cs="宋体"/>
          <w:bCs/>
          <w:color w:val="auto"/>
          <w:sz w:val="21"/>
          <w:szCs w:val="21"/>
          <w:highlight w:val="none"/>
          <w:lang w:eastAsia="zh-CN"/>
        </w:rPr>
        <w:t xml:space="preserve">必须</w:t>
      </w:r>
      <w:r>
        <w:rPr>
          <w:rFonts w:hint="eastAsia" w:ascii="宋体" w:hAnsi="宋体" w:eastAsia="宋体" w:cs="宋体"/>
          <w:bCs/>
          <w:color w:val="auto"/>
          <w:sz w:val="21"/>
          <w:szCs w:val="21"/>
          <w:highlight w:val="none"/>
        </w:rPr>
        <w:t xml:space="preserve">予以配合，协助采购方完善项目内容。</w:t>
      </w:r>
      <w:r/>
    </w:p>
    <w:p>
      <w:pPr>
        <w:ind w:firstLine="42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4.</w:t>
      </w:r>
      <w:r>
        <w:rPr>
          <w:rFonts w:hint="eastAsia" w:ascii="宋体" w:hAnsi="宋体" w:eastAsia="宋体" w:cs="宋体"/>
          <w:bCs/>
          <w:color w:val="auto"/>
          <w:sz w:val="21"/>
          <w:szCs w:val="21"/>
          <w:highlight w:val="none"/>
        </w:rPr>
        <w:t xml:space="preserve">此项目要求提供多样化技术支持服务，处理出现的各种问题，以保证工作的正常运行。中标单位服务响应时间为2小时、一般售后问题时间控制在4小时内、重大售后问题时间控制</w:t>
      </w:r>
      <w:r>
        <w:rPr>
          <w:rFonts w:hint="eastAsia" w:ascii="宋体" w:hAnsi="宋体" w:eastAsia="宋体" w:cs="宋体"/>
          <w:bCs/>
          <w:color w:val="auto"/>
          <w:sz w:val="21"/>
          <w:szCs w:val="21"/>
          <w:highlight w:val="none"/>
          <w:lang w:eastAsia="zh-CN"/>
        </w:rPr>
        <w:t xml:space="preserve">在</w:t>
      </w:r>
      <w:r>
        <w:rPr>
          <w:rFonts w:hint="eastAsia" w:ascii="宋体" w:hAnsi="宋体" w:eastAsia="宋体" w:cs="宋体"/>
          <w:bCs/>
          <w:color w:val="auto"/>
          <w:sz w:val="21"/>
          <w:szCs w:val="21"/>
          <w:highlight w:val="none"/>
        </w:rPr>
        <w:t xml:space="preserve">8小时内。在客户工作需要技术支持情况下，如需现场解决，到达现场时间不超过2小时，特殊情况下不超过3小时。</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eastAsia="zh-CN"/>
        </w:rPr>
        <w:t xml:space="preserve">5.</w:t>
      </w:r>
      <w:r>
        <w:rPr>
          <w:rFonts w:hint="eastAsia" w:ascii="宋体" w:hAnsi="宋体" w:eastAsia="宋体" w:cs="宋体"/>
          <w:bCs/>
          <w:color w:val="auto"/>
          <w:sz w:val="21"/>
          <w:szCs w:val="21"/>
          <w:highlight w:val="none"/>
        </w:rPr>
        <w:t xml:space="preserve">项目完成后1年内，中标单位需提供免费技术支持。</w:t>
      </w:r>
      <w:r/>
    </w:p>
    <w:p>
      <w:pPr>
        <w:ind w:firstLine="422"/>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、综合说明</w:t>
      </w:r>
      <w:r/>
    </w:p>
    <w:p>
      <w:pPr>
        <w:pStyle w:val="95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投标人所提供的相关服务应根据国家、省市、行业相关标准和规范进行，并遵循招标文件的要求，其服务功能应达到或优于采购要求，并提供详细的质量标准和服务方案。如其中某些条款不能完全满足时，应在投标文件中逐条列出，如未列出，且评审时未能发现其未响应，则履约时视同供应商全部响应招标文件要求并按招标文件要求执行。</w:t>
      </w:r>
      <w:r/>
    </w:p>
    <w:p>
      <w:pPr>
        <w:pStyle w:val="95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如果在合同履行过程中有新的国家或行业（部）规范和标准出台的，则中标单位应确保其合同内容达到并符合新的国家或行业（部）规范和标准，因此而增加的费用及风险由中标单位自行承担。</w:t>
      </w:r>
      <w:r/>
    </w:p>
    <w:p>
      <w:pPr>
        <w:pStyle w:val="95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投标人须对本项目中的所有服务内容进行报价，不得拆开报价或只投其中的部分内容，否则作无效投标处理。</w:t>
      </w:r>
      <w:r/>
    </w:p>
    <w:p>
      <w:pPr>
        <w:pStyle w:val="95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投标人的投标报价必须包含完成本项目涉及的全部服务内容及相关服务所需的一切费用，包括但不限于完成本项工作所需的人工、设备、材料、管理、保险、利润、税金、验收（含专家论证费，如有）、技术支持、政策性文件规定及合同包含的所有风险、责任等各项应有费用。如除非因特殊原因并经双方协商同意，中标单位不得再要求追加任何费用。同时，除非合同条款中另有规定，否则，中标单位所报价格在合同实施期间不因市场变化因素而变动。</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知识产权：供方应保证采购方免除且供方承担由于采购方在其本国使用该项目或项目任何一部分时而引起第三方提出的侵犯专利权、商标权或工业设计权的起诉、行动、行政程序索赔、请求等以及采购方为此而产生的损失和损害、费用和支出（包括律师费）。</w:t>
      </w:r>
      <w:r/>
    </w:p>
    <w:p>
      <w:pPr>
        <w:ind w:firstLine="420"/>
        <w:jc w:val="left"/>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6.</w:t>
      </w:r>
      <w:r>
        <w:rPr>
          <w:rFonts w:hint="eastAsia" w:ascii="宋体" w:hAnsi="宋体" w:eastAsia="宋体" w:cs="宋体"/>
          <w:b w:val="0"/>
          <w:bCs w:val="0"/>
          <w:color w:val="auto"/>
          <w:sz w:val="21"/>
          <w:szCs w:val="21"/>
          <w:highlight w:val="none"/>
        </w:rPr>
        <w:t xml:space="preserve">验收基本要求</w:t>
      </w:r>
      <w:r/>
    </w:p>
    <w:p>
      <w:pPr>
        <w:ind w:firstLine="420"/>
        <w:spacing w:line="360" w:lineRule="auto"/>
        <w:rPr>
          <w:rFonts w:hint="eastAsia" w:ascii="宋体" w:hAnsi="宋体" w:eastAsia="宋体" w:cs="宋体"/>
          <w:bCs/>
          <w:color w:val="auto"/>
          <w:sz w:val="21"/>
          <w:szCs w:val="21"/>
          <w:highlight w:val="none"/>
        </w:rPr>
        <w:outlineLvl w:val="1"/>
      </w:pPr>
      <w:r/>
      <w:bookmarkStart w:id="76" w:name="OLE_LINK118"/>
      <w:r/>
      <w:bookmarkStart w:id="77" w:name="OLE_LINK117"/>
      <w:r>
        <w:rPr>
          <w:rFonts w:hint="eastAsia" w:ascii="宋体" w:hAnsi="宋体" w:eastAsia="宋体" w:cs="宋体"/>
          <w:bCs/>
          <w:color w:val="auto"/>
          <w:sz w:val="21"/>
          <w:szCs w:val="21"/>
          <w:highlight w:val="none"/>
        </w:rPr>
        <w:t xml:space="preserve">验收基本要求：须符合招标文件和采购合同的要求及其在投标文件和投标过程中作出的响应及承诺。</w:t>
      </w:r>
      <w:r>
        <w:rPr>
          <w:rFonts w:hint="eastAsia" w:ascii="宋体" w:hAnsi="宋体" w:eastAsia="宋体" w:cs="宋体"/>
          <w:color w:val="auto"/>
          <w:sz w:val="21"/>
          <w:szCs w:val="21"/>
          <w:highlight w:val="none"/>
        </w:rPr>
        <w:t xml:space="preserve">采购合同、招标文件、</w:t>
      </w:r>
      <w:r>
        <w:rPr>
          <w:rFonts w:hint="eastAsia" w:ascii="宋体" w:hAnsi="宋体" w:eastAsia="宋体" w:cs="宋体"/>
          <w:bCs/>
          <w:color w:val="auto"/>
          <w:sz w:val="21"/>
          <w:szCs w:val="21"/>
          <w:highlight w:val="none"/>
        </w:rPr>
        <w:t xml:space="preserve">中标单位的投标文件均作为验收依据和标准。</w:t>
      </w:r>
      <w:bookmarkEnd w:id="76"/>
      <w:r/>
      <w:bookmarkEnd w:id="77"/>
      <w:r/>
      <w:r/>
    </w:p>
    <w:p>
      <w:pPr>
        <w:ind w:firstLine="422"/>
        <w:spacing w:line="360" w:lineRule="auto"/>
        <w:tabs>
          <w:tab w:val="left" w:pos="3600" w:leader="none"/>
        </w:tabs>
        <w:rPr>
          <w:rFonts w:hint="eastAsia" w:asciiTheme="minorEastAsia" w:hAnsiTheme="minorEastAsia" w:eastAsiaTheme="minorEastAsia" w:cstheme="minorEastAsia"/>
          <w:b/>
          <w:color w:val="auto"/>
          <w:sz w:val="21"/>
          <w:szCs w:val="22"/>
          <w:highlight w:val="none"/>
        </w:rPr>
      </w:pPr>
      <w:r>
        <w:rPr>
          <w:rFonts w:hint="eastAsia" w:asciiTheme="minorEastAsia" w:hAnsiTheme="minorEastAsia" w:eastAsiaTheme="minorEastAsia" w:cstheme="minorEastAsia"/>
          <w:b/>
          <w:color w:val="auto"/>
          <w:sz w:val="21"/>
          <w:szCs w:val="22"/>
          <w:highlight w:val="none"/>
        </w:rPr>
        <w:t xml:space="preserve">七、政府采购政策</w:t>
      </w:r>
      <w:r/>
    </w:p>
    <w:p>
      <w:pPr>
        <w:ind w:firstLine="420"/>
        <w:spacing w:line="360" w:lineRule="auto"/>
        <w:tabs>
          <w:tab w:val="left" w:pos="3600" w:leader="none"/>
        </w:tabs>
        <w:rPr>
          <w:rFonts w:hint="eastAsia"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lang w:eastAsia="zh-CN"/>
        </w:rPr>
        <w:t xml:space="preserve">1.</w:t>
      </w:r>
      <w:r>
        <w:rPr>
          <w:rFonts w:hint="eastAsia" w:asciiTheme="minorEastAsia" w:hAnsiTheme="minorEastAsia" w:eastAsiaTheme="minorEastAsia" w:cstheme="minorEastAsia"/>
          <w:color w:val="auto"/>
          <w:sz w:val="21"/>
          <w:szCs w:val="24"/>
          <w:highlight w:val="none"/>
        </w:rPr>
        <w:t xml:space="preserve">针对中小型企业、残疾人福利性单位和监狱企业的评审加分：</w:t>
      </w:r>
      <w:r/>
    </w:p>
    <w:p>
      <w:pPr>
        <w:ind w:firstLine="420"/>
        <w:spacing w:line="360" w:lineRule="auto"/>
        <w:tabs>
          <w:tab w:val="left" w:pos="3600" w:leader="none"/>
        </w:tabs>
        <w:rPr>
          <w:rFonts w:hint="eastAsia"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1.1根据《政府采购促进中小企业发展办法》、《关于促进残疾人就业政府采购政策的通知》（财库〔2017〕141号）、《关于政府采购支持监狱企业发展有关问题的通知》（财库〔2014〕68号）等文件规定，在政府采购项目中，在服务采购项目中，服务由小型或微型企业承接，即提供服务的人员为小型或微型企业依照《中华人民共和国民法典》订立劳动合同的从业人员，其报价给予20%的扣除，用扣除后的价格参与价格评审。</w:t>
      </w:r>
      <w:r/>
    </w:p>
    <w:p>
      <w:pPr>
        <w:ind w:firstLine="420"/>
        <w:spacing w:line="360" w:lineRule="auto"/>
        <w:tabs>
          <w:tab w:val="left" w:pos="3600" w:leader="none"/>
        </w:tabs>
        <w:rPr>
          <w:rFonts w:hint="eastAsia" w:asciiTheme="minorEastAsia" w:hAnsiTheme="minorEastAsia" w:eastAsiaTheme="minorEastAsia" w:cstheme="minorEastAsia"/>
          <w:color w:val="auto"/>
          <w:sz w:val="21"/>
          <w:szCs w:val="24"/>
          <w:highlight w:val="none"/>
          <w:lang w:val="en-US" w:eastAsia="zh-CN"/>
        </w:rPr>
      </w:pPr>
      <w:r>
        <w:rPr>
          <w:rFonts w:hint="eastAsia" w:asciiTheme="minorEastAsia" w:hAnsiTheme="minorEastAsia" w:eastAsiaTheme="minorEastAsia" w:cstheme="minorEastAsia"/>
          <w:color w:val="auto"/>
          <w:sz w:val="21"/>
          <w:szCs w:val="24"/>
          <w:highlight w:val="none"/>
          <w:lang w:val="en-US" w:eastAsia="zh-CN"/>
        </w:rPr>
        <w:t xml:space="preserve">大中型企业与小型、微型企业（残疾人福利单位、监狱企业）组成联合体共同参加政府采购活动的，联合协议中约定小型、微型企业的合同份额占到合同总金额30%以上的，给予联合体6%的价格扣除，用扣除后的价格参加评审。</w:t>
      </w:r>
      <w:r/>
    </w:p>
    <w:p>
      <w:pPr>
        <w:ind w:firstLine="420"/>
        <w:spacing w:line="360" w:lineRule="auto"/>
        <w:tabs>
          <w:tab w:val="left" w:pos="3600" w:leader="none"/>
        </w:tabs>
        <w:rPr>
          <w:rFonts w:hint="default"/>
          <w:color w:val="auto"/>
          <w:highlight w:val="none"/>
          <w:lang w:val="en-US" w:eastAsia="zh-CN"/>
        </w:rPr>
      </w:pPr>
      <w:r>
        <w:rPr>
          <w:rFonts w:hint="eastAsia" w:asciiTheme="minorEastAsia" w:hAnsiTheme="minorEastAsia" w:eastAsiaTheme="minorEastAsia" w:cstheme="minorEastAsia"/>
          <w:color w:val="auto"/>
          <w:sz w:val="21"/>
          <w:szCs w:val="24"/>
          <w:highlight w:val="none"/>
          <w:lang w:val="en-US" w:eastAsia="zh-CN"/>
        </w:rPr>
        <w:t xml:space="preserve">联合体各方均为小型、微型企业（残疾人福利单位、监狱企业）的，联合体享受20%的价格扣除，用扣除后的价格参加评审。</w:t>
      </w:r>
      <w:r/>
    </w:p>
    <w:p>
      <w:pPr>
        <w:ind w:firstLine="420"/>
        <w:spacing w:line="360" w:lineRule="auto"/>
        <w:tabs>
          <w:tab w:val="left" w:pos="3600" w:leader="none"/>
        </w:tabs>
        <w:rPr>
          <w:rFonts w:hint="eastAsia"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如扣除后的价格为最低价的，则作为评审基准价，若最后中标，中标价格则以实际投标报价为准。残疾人企业或监狱企业属于小型、微型企业的，不重复享受政策。</w:t>
      </w:r>
      <w:r/>
    </w:p>
    <w:p>
      <w:pPr>
        <w:ind w:firstLine="422"/>
        <w:spacing w:line="360" w:lineRule="auto"/>
        <w:tabs>
          <w:tab w:val="left" w:pos="3600" w:leader="none"/>
        </w:tabs>
        <w:rPr>
          <w:rFonts w:hint="eastAsia" w:asciiTheme="minorEastAsia" w:hAnsiTheme="minorEastAsia" w:eastAsiaTheme="minorEastAsia" w:cstheme="minorEastAsia"/>
          <w:b/>
          <w:color w:val="auto"/>
          <w:sz w:val="21"/>
          <w:szCs w:val="24"/>
          <w:highlight w:val="none"/>
        </w:rPr>
      </w:pPr>
      <w:r>
        <w:rPr>
          <w:rFonts w:hint="eastAsia" w:asciiTheme="minorEastAsia" w:hAnsiTheme="minorEastAsia" w:eastAsiaTheme="minorEastAsia" w:cstheme="minorEastAsia"/>
          <w:b/>
          <w:color w:val="auto"/>
          <w:sz w:val="21"/>
          <w:szCs w:val="24"/>
          <w:highlight w:val="none"/>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360" w:lineRule="auto"/>
        <w:tabs>
          <w:tab w:val="left" w:pos="3600" w:leader="none"/>
        </w:tabs>
        <w:rPr>
          <w:rFonts w:hint="eastAsia"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1.</w:t>
      </w:r>
      <w:r>
        <w:rPr>
          <w:rFonts w:hint="eastAsia" w:asciiTheme="minorEastAsia" w:hAnsiTheme="minorEastAsia" w:eastAsiaTheme="minorEastAsia" w:cstheme="minorEastAsia"/>
          <w:color w:val="auto"/>
          <w:sz w:val="21"/>
          <w:szCs w:val="24"/>
          <w:highlight w:val="none"/>
          <w:lang w:val="en-US" w:eastAsia="zh-CN"/>
        </w:rPr>
        <w:t xml:space="preserve">2</w:t>
      </w:r>
      <w:r>
        <w:rPr>
          <w:rFonts w:hint="eastAsia" w:asciiTheme="minorEastAsia" w:hAnsiTheme="minorEastAsia" w:eastAsiaTheme="minorEastAsia" w:cstheme="minorEastAsia"/>
          <w:color w:val="auto"/>
          <w:sz w:val="21"/>
          <w:szCs w:val="24"/>
          <w:highlight w:val="none"/>
        </w:rPr>
        <w:t xml:space="preserve">中型、小型或微型企业需在响应文件中提供《中小企业声明函》；监狱企业需提供由省级以上监狱管理局、戒毒管理局（含新疆生产建设兵团）出具的属于监狱企业的证明文件；残疾人福利性单位需提供《残疾人福利性单位声明函》。在投标文件中未提供相关声明函，证明文件的，不享受评审优惠政策。</w:t>
      </w:r>
      <w:r/>
    </w:p>
    <w:p>
      <w:pPr>
        <w:ind w:firstLine="420"/>
        <w:spacing w:line="360" w:lineRule="auto"/>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lang w:eastAsia="zh-CN"/>
        </w:rPr>
        <w:t xml:space="preserve">2.</w:t>
      </w:r>
      <w:r>
        <w:rPr>
          <w:rFonts w:hint="eastAsia" w:asciiTheme="minorEastAsia" w:hAnsiTheme="minorEastAsia" w:eastAsiaTheme="minorEastAsia" w:cstheme="minorEastAsia"/>
          <w:color w:val="auto"/>
          <w:sz w:val="21"/>
          <w:highlight w:val="none"/>
        </w:rPr>
        <w:t xml:space="preserve">关于对参与供应商信用记录的政府采购要求：</w:t>
      </w:r>
      <w:r/>
    </w:p>
    <w:p>
      <w:pPr>
        <w:ind w:firstLine="420"/>
        <w:spacing w:line="360" w:lineRule="auto"/>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2.1采购代理机构会在接收投标文件截止时间后，在苏州市政府采购网查询信用记录，并将查询结果递交评审小组。</w:t>
      </w:r>
      <w:r/>
    </w:p>
    <w:p>
      <w:pPr>
        <w:ind w:firstLine="420"/>
        <w:spacing w:line="360" w:lineRule="auto"/>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2.2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A、政府采购严重违法记录，即供应商被全国各级财政部门列入“政府采购严重违法失信行为记录名单”，且在处罚有效期内的。</w:t>
      </w:r>
      <w:r/>
    </w:p>
    <w:p>
      <w:pPr>
        <w:ind w:firstLine="420"/>
        <w:spacing w:line="360" w:lineRule="auto"/>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B、财政部门与法院、工商、税务等部门联合惩戒的失信信息，包括：</w:t>
      </w:r>
      <w:r/>
    </w:p>
    <w:p>
      <w:pPr>
        <w:ind w:firstLine="420"/>
        <w:spacing w:line="360" w:lineRule="auto"/>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1） 被列入失信被执行人名单；</w:t>
      </w:r>
      <w:r/>
    </w:p>
    <w:p>
      <w:pPr>
        <w:ind w:firstLine="420"/>
        <w:spacing w:line="360" w:lineRule="auto"/>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2） 被列入重大税收违法案件当事人名单；</w:t>
      </w:r>
      <w:r/>
    </w:p>
    <w:p>
      <w:pPr>
        <w:ind w:firstLine="420"/>
        <w:spacing w:line="360" w:lineRule="auto"/>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3） 企业经营异常名录中被责令停产停业、暂扣或者吊销许可证或者执照，或者对经营活动中的违法行为处以2</w:t>
      </w:r>
      <w:r>
        <w:rPr>
          <w:rFonts w:hint="eastAsia" w:asciiTheme="minorEastAsia" w:hAnsiTheme="minorEastAsia" w:eastAsiaTheme="minorEastAsia" w:cstheme="minorEastAsia"/>
          <w:color w:val="auto"/>
          <w:sz w:val="21"/>
          <w:highlight w:val="none"/>
          <w:lang w:val="en-US" w:eastAsia="zh-CN"/>
        </w:rPr>
        <w:t xml:space="preserve">00</w:t>
      </w:r>
      <w:r>
        <w:rPr>
          <w:rFonts w:hint="eastAsia" w:asciiTheme="minorEastAsia" w:hAnsiTheme="minorEastAsia" w:eastAsiaTheme="minorEastAsia" w:cstheme="minorEastAsia"/>
          <w:color w:val="auto"/>
          <w:sz w:val="21"/>
          <w:highlight w:val="none"/>
        </w:rPr>
        <w:t xml:space="preserve">万元以上数额罚款的信用记录。处罚生效日至递交（响应）文件日未满三年的。</w:t>
      </w:r>
      <w:r/>
    </w:p>
    <w:p>
      <w:pPr>
        <w:ind w:firstLine="420"/>
        <w:spacing w:line="360" w:lineRule="auto"/>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2.3对存在失信信息的供应商，采购代理机构工作人员应根据评审小组确认的失信信息，</w:t>
      </w:r>
      <w:r>
        <w:rPr>
          <w:rFonts w:hint="eastAsia" w:asciiTheme="minorEastAsia" w:hAnsiTheme="minorEastAsia" w:eastAsiaTheme="minorEastAsia" w:cstheme="minorEastAsia"/>
          <w:color w:val="auto"/>
          <w:sz w:val="21"/>
          <w:highlight w:val="none"/>
          <w:lang w:eastAsia="zh-CN"/>
        </w:rPr>
        <w:t xml:space="preserve">登录到</w:t>
      </w:r>
      <w:r>
        <w:rPr>
          <w:rFonts w:hint="eastAsia" w:asciiTheme="minorEastAsia" w:hAnsiTheme="minorEastAsia" w:eastAsiaTheme="minorEastAsia" w:cstheme="minorEastAsia"/>
          <w:color w:val="auto"/>
          <w:sz w:val="21"/>
          <w:highlight w:val="none"/>
        </w:rPr>
        <w:t xml:space="preserve">相关来源网站页面进行复核并打印，作为证据留存。</w:t>
      </w:r>
      <w:r/>
    </w:p>
    <w:p>
      <w:pPr>
        <w:pStyle w:val="953"/>
        <w:ind w:firstLine="422"/>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八、凡涉及招标文件的补充说明和修改，均以苏州市政府采购网等发布的最新信息为准。</w:t>
      </w:r>
      <w:r/>
    </w:p>
    <w:p>
      <w:pPr>
        <w:jc w:val="center"/>
        <w:spacing w:line="360" w:lineRule="auto"/>
        <w:rPr>
          <w:rFonts w:hint="eastAsia" w:asciiTheme="minorEastAsia" w:hAnsiTheme="minorEastAsia" w:eastAsiaTheme="minorEastAsia" w:cstheme="minorEastAsia"/>
          <w:b/>
          <w:bCs/>
          <w:color w:val="auto"/>
          <w:sz w:val="44"/>
          <w:szCs w:val="44"/>
          <w:highlight w:val="none"/>
        </w:rPr>
        <w:outlineLvl w:val="0"/>
      </w:pPr>
      <w:r>
        <w:rPr>
          <w:rFonts w:hint="eastAsia" w:asciiTheme="minorEastAsia" w:hAnsiTheme="minorEastAsia" w:eastAsiaTheme="minorEastAsia" w:cstheme="minorEastAsia"/>
          <w:b/>
          <w:color w:val="auto"/>
          <w:sz w:val="32"/>
          <w:szCs w:val="32"/>
          <w:highlight w:val="none"/>
        </w:rPr>
        <w:br w:type="page" w:clear="all"/>
      </w:r>
      <w:r>
        <w:rPr>
          <w:rFonts w:hint="eastAsia" w:asciiTheme="minorEastAsia" w:hAnsiTheme="minorEastAsia" w:eastAsiaTheme="minorEastAsia" w:cstheme="minorEastAsia"/>
          <w:b/>
          <w:color w:val="auto"/>
          <w:sz w:val="32"/>
          <w:szCs w:val="32"/>
          <w:highlight w:val="none"/>
        </w:rPr>
        <w:t xml:space="preserve">第五章 合同主要条款</w:t>
      </w:r>
      <w:bookmarkEnd w:id="71"/>
      <w:r/>
      <w:bookmarkEnd w:id="72"/>
      <w:r/>
      <w:r/>
    </w:p>
    <w:tbl>
      <w:tblPr>
        <w:tblStyle w:val="952"/>
        <w:tblW w:w="9673" w:type="dxa"/>
        <w:jc w:val="center"/>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jc w:val="center"/>
          <w:trHeight w:val="397"/>
        </w:trPr>
        <w:tc>
          <w:tcPr>
            <w:tcW w:w="4746"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1"/>
                <w:szCs w:val="22"/>
                <w:highlight w:val="none"/>
              </w:rPr>
              <w:t xml:space="preserve">甲方（采购人）：</w:t>
            </w:r>
            <w:r/>
          </w:p>
        </w:tc>
        <w:tc>
          <w:tcPr>
            <w:tcW w:w="4927"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1"/>
                <w:szCs w:val="22"/>
                <w:highlight w:val="none"/>
              </w:rPr>
              <w:t xml:space="preserve">单位地址：</w:t>
            </w:r>
            <w:r/>
          </w:p>
        </w:tc>
      </w:tr>
      <w:tr>
        <w:trPr>
          <w:jc w:val="center"/>
          <w:trHeight w:val="397"/>
        </w:trPr>
        <w:tc>
          <w:tcPr>
            <w:tcW w:w="4746"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1"/>
                <w:szCs w:val="22"/>
                <w:highlight w:val="none"/>
              </w:rPr>
              <w:t xml:space="preserve">乙方（供应商）：</w:t>
            </w:r>
            <w:r/>
          </w:p>
        </w:tc>
        <w:tc>
          <w:tcPr>
            <w:tcW w:w="4927"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1"/>
                <w:szCs w:val="22"/>
                <w:highlight w:val="none"/>
              </w:rPr>
              <w:t xml:space="preserve">单位地址：</w:t>
            </w:r>
            <w:r/>
          </w:p>
        </w:tc>
      </w:tr>
      <w:tr>
        <w:trPr>
          <w:jc w:val="center"/>
          <w:trHeight w:val="397"/>
        </w:trPr>
        <w:tc>
          <w:tcPr>
            <w:tcW w:w="4746"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1"/>
                <w:szCs w:val="22"/>
                <w:highlight w:val="none"/>
              </w:rPr>
              <w:t xml:space="preserve">签订日期：</w:t>
            </w:r>
            <w:r/>
          </w:p>
        </w:tc>
        <w:tc>
          <w:tcPr>
            <w:tcW w:w="4927"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1"/>
                <w:szCs w:val="22"/>
                <w:highlight w:val="none"/>
              </w:rPr>
              <w:t xml:space="preserve">签订地点：</w:t>
            </w:r>
            <w:r/>
          </w:p>
        </w:tc>
      </w:tr>
    </w:tbl>
    <w:p>
      <w:pPr>
        <w:ind w:firstLine="420"/>
        <w:spacing w:line="360" w:lineRule="auto"/>
        <w:rPr>
          <w:rFonts w:hint="eastAsia" w:asciiTheme="minorEastAsia" w:hAnsiTheme="minorEastAsia" w:eastAsiaTheme="minorEastAsia" w:cstheme="minorEastAsia"/>
          <w:color w:val="auto"/>
          <w:sz w:val="21"/>
          <w:szCs w:val="21"/>
          <w:highlight w:val="none"/>
        </w:rPr>
      </w:pPr>
      <w:r/>
      <w:bookmarkStart w:id="78" w:name="_Toc35951276"/>
      <w:r>
        <w:rPr>
          <w:rFonts w:hint="eastAsia" w:asciiTheme="minorEastAsia" w:hAnsiTheme="minorEastAsia" w:eastAsiaTheme="minorEastAsia" w:cstheme="minorEastAsia"/>
          <w:color w:val="auto"/>
          <w:sz w:val="21"/>
          <w:szCs w:val="21"/>
          <w:highlight w:val="none"/>
        </w:rPr>
        <w:t xml:space="preserve">根据采购编号</w:t>
      </w:r>
      <w:r>
        <w:rPr>
          <w:rFonts w:hint="eastAsia" w:asciiTheme="minorEastAsia" w:hAnsiTheme="minorEastAsia" w:eastAsiaTheme="minorEastAsia" w:cstheme="minorEastAsia"/>
          <w:color w:val="auto"/>
          <w:sz w:val="21"/>
          <w:szCs w:val="21"/>
          <w:highlight w:val="none"/>
          <w:u w:val="single"/>
          <w:lang w:eastAsia="zh-CN"/>
        </w:rPr>
        <w:t xml:space="preserve">JSZC-320509-SWGC-G2026-0065</w:t>
      </w:r>
      <w:r>
        <w:rPr>
          <w:rFonts w:hint="eastAsia" w:asciiTheme="minorEastAsia" w:hAnsiTheme="minorEastAsia" w:eastAsiaTheme="minorEastAsia" w:cstheme="minorEastAsia"/>
          <w:color w:val="auto"/>
          <w:sz w:val="21"/>
          <w:szCs w:val="21"/>
          <w:highlight w:val="none"/>
        </w:rPr>
        <w:t xml:space="preserve">号招标文件及中标通知书，甲乙双方就此次中标的</w:t>
      </w:r>
      <w:r>
        <w:rPr>
          <w:rFonts w:hint="eastAsia" w:asciiTheme="minorEastAsia" w:hAnsiTheme="minorEastAsia" w:eastAsiaTheme="minorEastAsia" w:cstheme="minorEastAsia"/>
          <w:color w:val="auto"/>
          <w:sz w:val="21"/>
          <w:highlight w:val="none"/>
          <w:u w:val="single"/>
          <w:lang w:eastAsia="zh-CN"/>
        </w:rPr>
        <w:t xml:space="preserve">2026年管线普查及数据升级项目</w:t>
      </w:r>
      <w:r>
        <w:rPr>
          <w:rFonts w:hint="eastAsia" w:asciiTheme="minorEastAsia" w:hAnsiTheme="minorEastAsia" w:eastAsiaTheme="minorEastAsia" w:cstheme="minorEastAsia"/>
          <w:color w:val="auto"/>
          <w:sz w:val="21"/>
          <w:szCs w:val="21"/>
          <w:highlight w:val="none"/>
        </w:rPr>
        <w:t xml:space="preserve">事宜，签订本合同书。</w:t>
      </w:r>
      <w:r/>
    </w:p>
    <w:p>
      <w:pPr>
        <w:spacing w:line="360" w:lineRule="auto"/>
        <w:tabs>
          <w:tab w:val="left" w:pos="540" w:leader="none"/>
        </w:tabs>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一、服务范围</w:t>
      </w:r>
      <w:r/>
    </w:p>
    <w:p>
      <w:pPr>
        <w:spacing w:line="360" w:lineRule="auto"/>
        <w:tabs>
          <w:tab w:val="left" w:pos="540" w:leader="none"/>
        </w:tabs>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甲方聘请乙方提供以下服务：</w:t>
      </w:r>
      <w:r/>
    </w:p>
    <w:p>
      <w:pPr>
        <w:ind w:firstLine="420"/>
        <w:spacing w:line="360" w:lineRule="auto"/>
        <w:tabs>
          <w:tab w:val="left" w:pos="540" w:leader="none"/>
        </w:tabs>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（1）本合同项下的服务指：</w:t>
      </w:r>
      <w:r>
        <w:rPr>
          <w:rFonts w:hint="eastAsia" w:asciiTheme="minorEastAsia" w:hAnsiTheme="minorEastAsia" w:eastAsiaTheme="minorEastAsia" w:cstheme="minorEastAsia"/>
          <w:color w:val="auto"/>
          <w:sz w:val="21"/>
          <w:szCs w:val="21"/>
          <w:highlight w:val="none"/>
          <w:lang w:eastAsia="zh-CN"/>
        </w:rPr>
        <w:t xml:space="preserve">2026年管线普查及数据升级项目</w:t>
      </w:r>
      <w:r>
        <w:rPr>
          <w:rFonts w:hint="eastAsia" w:asciiTheme="minorEastAsia" w:hAnsiTheme="minorEastAsia" w:eastAsiaTheme="minorEastAsia" w:cstheme="minorEastAsia"/>
          <w:color w:val="auto"/>
          <w:sz w:val="21"/>
          <w:szCs w:val="21"/>
          <w:highlight w:val="none"/>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iCs/>
          <w:color w:val="auto"/>
          <w:sz w:val="21"/>
          <w:szCs w:val="21"/>
          <w:highlight w:val="none"/>
        </w:rPr>
        <w:t xml:space="preserve">项目概况：（详见招标文件）</w:t>
      </w:r>
      <w:r>
        <w:rPr>
          <w:rFonts w:hint="eastAsia" w:asciiTheme="minorEastAsia" w:hAnsiTheme="minorEastAsia" w:eastAsiaTheme="minorEastAsia" w:cstheme="minorEastAsia"/>
          <w:color w:val="auto"/>
          <w:sz w:val="21"/>
          <w:szCs w:val="21"/>
          <w:highlight w:val="none"/>
        </w:rPr>
        <w:t xml:space="preserve">。</w:t>
      </w:r>
      <w:r/>
    </w:p>
    <w:p>
      <w:pPr>
        <w:ind w:firstLine="420"/>
        <w:spacing w:line="360" w:lineRule="auto"/>
        <w:tabs>
          <w:tab w:val="left" w:pos="567"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（3）服务期限：</w:t>
      </w:r>
      <w:r>
        <w:rPr>
          <w:rFonts w:hint="eastAsia" w:asciiTheme="minorEastAsia" w:hAnsiTheme="minorEastAsia" w:eastAsiaTheme="minorEastAsia" w:cstheme="minorEastAsia"/>
          <w:iCs/>
          <w:color w:val="auto"/>
          <w:sz w:val="21"/>
          <w:szCs w:val="21"/>
          <w:highlight w:val="none"/>
        </w:rPr>
        <w:t xml:space="preserve">（详见招标文件）。</w:t>
      </w:r>
      <w:r/>
    </w:p>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二、下列文件为本合同不可分割部分与本合同具有同等法律效力：</w:t>
      </w:r>
      <w:r/>
    </w:p>
    <w:p>
      <w:pPr>
        <w:ind w:left="420" w:hanging="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① 中标通知书；    ② 乙方的投标文件；   ③招标文件及其附件； </w:t>
      </w:r>
      <w:r/>
    </w:p>
    <w:p>
      <w:pPr>
        <w:ind w:firstLine="42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④ 合同附件（如有）；   ⑤乙方在招投标过程中所作的</w:t>
      </w:r>
      <w:r>
        <w:rPr>
          <w:rFonts w:hint="eastAsia" w:asciiTheme="minorEastAsia" w:hAnsiTheme="minorEastAsia" w:eastAsiaTheme="minorEastAsia" w:cstheme="minorEastAsia"/>
          <w:color w:val="auto"/>
          <w:sz w:val="21"/>
          <w:szCs w:val="21"/>
          <w:highlight w:val="none"/>
          <w:lang w:eastAsia="zh-CN"/>
        </w:rPr>
        <w:t xml:space="preserve">其他</w:t>
      </w:r>
      <w:r>
        <w:rPr>
          <w:rFonts w:hint="eastAsia" w:asciiTheme="minorEastAsia" w:hAnsiTheme="minorEastAsia" w:eastAsiaTheme="minorEastAsia" w:cstheme="minorEastAsia"/>
          <w:color w:val="auto"/>
          <w:sz w:val="21"/>
          <w:szCs w:val="21"/>
          <w:highlight w:val="none"/>
        </w:rPr>
        <w:t xml:space="preserve">承诺、声明、书面澄清等。</w:t>
      </w:r>
      <w:r/>
    </w:p>
    <w:p>
      <w:pPr>
        <w:spacing w:line="360" w:lineRule="auto"/>
        <w:tabs>
          <w:tab w:val="left" w:pos="540" w:leader="none"/>
        </w:tabs>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三、合同价格及支付：</w:t>
      </w:r>
      <w:r/>
    </w:p>
    <w:p>
      <w:pPr>
        <w:ind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3.1合同价格：</w:t>
      </w:r>
      <w:r/>
    </w:p>
    <w:p>
      <w:pPr>
        <w:ind w:firstLine="420"/>
        <w:spacing w:line="360" w:lineRule="auto"/>
        <w:tabs>
          <w:tab w:val="left" w:pos="567"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合同价格（大写）人民币</w:t>
      </w:r>
      <w:r>
        <w:rPr>
          <w:rFonts w:hint="eastAsia" w:asciiTheme="minorEastAsia" w:hAnsiTheme="minorEastAsia" w:eastAsiaTheme="minorEastAsia" w:cstheme="minorEastAsia"/>
          <w:color w:val="auto"/>
          <w:sz w:val="21"/>
          <w:szCs w:val="21"/>
          <w:highlight w:val="none"/>
          <w:u w:val="single"/>
        </w:rPr>
        <w:t xml:space="preserve">           元整</w:t>
      </w:r>
      <w:r>
        <w:rPr>
          <w:rFonts w:hint="eastAsia" w:asciiTheme="minorEastAsia" w:hAnsiTheme="minorEastAsia" w:eastAsiaTheme="minorEastAsia" w:cstheme="minorEastAsia"/>
          <w:color w:val="auto"/>
          <w:sz w:val="21"/>
          <w:szCs w:val="21"/>
          <w:highlight w:val="none"/>
        </w:rPr>
        <w:t xml:space="preserve">（￥.00）。合同价格包括完成本项工作所需的人工、设备、材料、管理、保险、利润、税金、交通、通讯、办公、验收、技术支持、政策性文件规定及合同包含的所有风险、责任等各项应有费用。如除非因特殊原因并经双方协商同意，中标单位不得再要求追加任何费用。同时，除非合同条款中另有规定，否则，合同价在合同实施期间不因市场变化因素而变动。</w:t>
      </w:r>
      <w:r/>
    </w:p>
    <w:p>
      <w:pPr>
        <w:ind w:firstLine="42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3.2支付步骤：</w:t>
      </w:r>
      <w:r/>
    </w:p>
    <w:p>
      <w:pPr>
        <w:ind w:firstLine="42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付款方式：</w:t>
      </w:r>
      <w:r/>
    </w:p>
    <w:p>
      <w:pPr>
        <w:numPr>
          <w:ilvl w:val="0"/>
          <w:numId w:val="5"/>
        </w:numPr>
        <w:ind w:firstLine="420"/>
        <w:jc w:val="left"/>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合同生效后，甲方收到乙方开具的发票二十个工作日内</w:t>
      </w:r>
      <w:r>
        <w:rPr>
          <w:rFonts w:hint="eastAsia" w:asciiTheme="minorEastAsia" w:hAnsiTheme="minorEastAsia" w:eastAsiaTheme="minorEastAsia" w:cstheme="minorEastAsia"/>
          <w:color w:val="auto"/>
          <w:sz w:val="21"/>
          <w:szCs w:val="21"/>
          <w:highlight w:val="none"/>
          <w:lang w:eastAsia="zh-CN"/>
        </w:rPr>
        <w:t xml:space="preserve">支付</w:t>
      </w:r>
      <w:r>
        <w:rPr>
          <w:rFonts w:hint="eastAsia" w:asciiTheme="minorEastAsia" w:hAnsiTheme="minorEastAsia" w:eastAsiaTheme="minorEastAsia" w:cstheme="minorEastAsia"/>
          <w:color w:val="auto"/>
          <w:sz w:val="21"/>
          <w:szCs w:val="21"/>
          <w:highlight w:val="none"/>
        </w:rPr>
        <w:t xml:space="preserve">合同总</w:t>
      </w:r>
      <w:r>
        <w:rPr>
          <w:rFonts w:hint="eastAsia" w:asciiTheme="minorEastAsia" w:hAnsiTheme="minorEastAsia" w:eastAsiaTheme="minorEastAsia" w:cstheme="minorEastAsia"/>
          <w:color w:val="auto"/>
          <w:sz w:val="21"/>
          <w:szCs w:val="21"/>
          <w:highlight w:val="none"/>
          <w:lang w:eastAsia="zh-CN"/>
        </w:rPr>
        <w:t xml:space="preserve">金额</w:t>
      </w:r>
      <w:r>
        <w:rPr>
          <w:rFonts w:hint="eastAsia" w:asciiTheme="minorEastAsia" w:hAnsiTheme="minorEastAsia" w:eastAsiaTheme="minorEastAsia" w:cstheme="minorEastAsia"/>
          <w:color w:val="auto"/>
          <w:sz w:val="21"/>
          <w:szCs w:val="21"/>
          <w:highlight w:val="none"/>
        </w:rPr>
        <w:t xml:space="preserve">的20%</w:t>
      </w:r>
      <w:r>
        <w:rPr>
          <w:rFonts w:hint="eastAsia" w:asciiTheme="minorEastAsia" w:hAnsiTheme="minorEastAsia" w:eastAsiaTheme="minorEastAsia" w:cstheme="minorEastAsia"/>
          <w:color w:val="auto"/>
          <w:sz w:val="21"/>
          <w:szCs w:val="21"/>
          <w:highlight w:val="none"/>
          <w:lang w:eastAsia="zh-CN"/>
        </w:rPr>
        <w:t xml:space="preserve">；</w:t>
      </w:r>
      <w:r/>
    </w:p>
    <w:p>
      <w:pPr>
        <w:numPr>
          <w:ilvl w:val="0"/>
          <w:numId w:val="5"/>
        </w:numPr>
        <w:ind w:firstLine="42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初步成果提交</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经监理单位确认</w:t>
      </w:r>
      <w:r>
        <w:rPr>
          <w:rFonts w:hint="eastAsia" w:asciiTheme="minorEastAsia" w:hAnsiTheme="minorEastAsia" w:eastAsiaTheme="minorEastAsia" w:cstheme="minorEastAsia"/>
          <w:color w:val="auto"/>
          <w:sz w:val="21"/>
          <w:szCs w:val="21"/>
          <w:highlight w:val="none"/>
        </w:rPr>
        <w:t xml:space="preserve">后</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甲方收到乙方开具的发票二十个工作日内</w:t>
      </w:r>
      <w:r>
        <w:rPr>
          <w:rFonts w:hint="eastAsia" w:asciiTheme="minorEastAsia" w:hAnsiTheme="minorEastAsia" w:eastAsiaTheme="minorEastAsia" w:cstheme="minorEastAsia"/>
          <w:color w:val="auto"/>
          <w:sz w:val="21"/>
          <w:szCs w:val="21"/>
          <w:highlight w:val="none"/>
          <w:lang w:eastAsia="zh-CN"/>
        </w:rPr>
        <w:t xml:space="preserve">支付</w:t>
      </w:r>
      <w:r>
        <w:rPr>
          <w:rFonts w:hint="eastAsia" w:asciiTheme="minorEastAsia" w:hAnsiTheme="minorEastAsia" w:eastAsiaTheme="minorEastAsia" w:cstheme="minorEastAsia"/>
          <w:color w:val="auto"/>
          <w:sz w:val="21"/>
          <w:szCs w:val="21"/>
          <w:highlight w:val="none"/>
        </w:rPr>
        <w:t xml:space="preserve">合同总</w:t>
      </w:r>
      <w:r>
        <w:rPr>
          <w:rFonts w:hint="eastAsia" w:asciiTheme="minorEastAsia" w:hAnsiTheme="minorEastAsia" w:eastAsiaTheme="minorEastAsia" w:cstheme="minorEastAsia"/>
          <w:color w:val="auto"/>
          <w:sz w:val="21"/>
          <w:szCs w:val="21"/>
          <w:highlight w:val="none"/>
          <w:lang w:eastAsia="zh-CN"/>
        </w:rPr>
        <w:t xml:space="preserve">金额</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0%</w:t>
      </w:r>
      <w:r>
        <w:rPr>
          <w:rFonts w:hint="eastAsia" w:asciiTheme="minorEastAsia" w:hAnsiTheme="minorEastAsia" w:eastAsiaTheme="minorEastAsia" w:cstheme="minorEastAsia"/>
          <w:color w:val="auto"/>
          <w:sz w:val="21"/>
          <w:szCs w:val="21"/>
          <w:highlight w:val="none"/>
          <w:lang w:eastAsia="zh-CN"/>
        </w:rPr>
        <w:t xml:space="preserve">；</w:t>
      </w:r>
      <w:r/>
    </w:p>
    <w:p>
      <w:pPr>
        <w:numPr>
          <w:ilvl w:val="0"/>
          <w:numId w:val="5"/>
        </w:numPr>
        <w:ind w:firstLine="42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经甲方验收合格后</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甲方收到乙方开具的发票二十个工作日内支付合同总</w:t>
      </w:r>
      <w:r>
        <w:rPr>
          <w:rFonts w:hint="eastAsia" w:asciiTheme="minorEastAsia" w:hAnsiTheme="minorEastAsia" w:eastAsiaTheme="minorEastAsia" w:cstheme="minorEastAsia"/>
          <w:color w:val="auto"/>
          <w:sz w:val="21"/>
          <w:szCs w:val="21"/>
          <w:highlight w:val="none"/>
          <w:lang w:eastAsia="zh-CN"/>
        </w:rPr>
        <w:t xml:space="preserve">金额</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0%</w:t>
      </w:r>
      <w:r>
        <w:rPr>
          <w:rFonts w:hint="eastAsia" w:asciiTheme="minorEastAsia" w:hAnsiTheme="minorEastAsia" w:eastAsiaTheme="minorEastAsia" w:cstheme="minorEastAsia"/>
          <w:color w:val="auto"/>
          <w:sz w:val="21"/>
          <w:szCs w:val="21"/>
          <w:highlight w:val="none"/>
          <w:lang w:eastAsia="zh-CN"/>
        </w:rPr>
        <w:t xml:space="preserve">；</w:t>
      </w:r>
      <w:r/>
    </w:p>
    <w:p>
      <w:pPr>
        <w:numPr>
          <w:ilvl w:val="0"/>
          <w:numId w:val="5"/>
        </w:numPr>
        <w:ind w:firstLine="42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提交最终成果</w:t>
      </w:r>
      <w:r>
        <w:rPr>
          <w:rFonts w:hint="eastAsia" w:asciiTheme="minorEastAsia" w:hAnsiTheme="minorEastAsia" w:eastAsiaTheme="minorEastAsia" w:cstheme="minorEastAsia"/>
          <w:color w:val="auto"/>
          <w:sz w:val="21"/>
          <w:szCs w:val="21"/>
          <w:highlight w:val="none"/>
        </w:rPr>
        <w:t xml:space="preserve">后</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甲方收到乙方开具的发票二十个工作日内合同总</w:t>
      </w:r>
      <w:r>
        <w:rPr>
          <w:rFonts w:hint="eastAsia" w:asciiTheme="minorEastAsia" w:hAnsiTheme="minorEastAsia" w:eastAsiaTheme="minorEastAsia" w:cstheme="minorEastAsia"/>
          <w:color w:val="auto"/>
          <w:sz w:val="21"/>
          <w:szCs w:val="21"/>
          <w:highlight w:val="none"/>
          <w:lang w:eastAsia="zh-CN"/>
        </w:rPr>
        <w:t xml:space="preserve">金额</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0%</w:t>
      </w:r>
      <w:r>
        <w:rPr>
          <w:rFonts w:hint="eastAsia" w:asciiTheme="minorEastAsia" w:hAnsiTheme="minorEastAsia" w:eastAsiaTheme="minorEastAsia" w:cstheme="minorEastAsia"/>
          <w:color w:val="auto"/>
          <w:sz w:val="21"/>
          <w:szCs w:val="21"/>
          <w:highlight w:val="none"/>
          <w:lang w:eastAsia="zh-CN"/>
        </w:rPr>
        <w:t xml:space="preserve">；</w:t>
      </w:r>
      <w:r/>
    </w:p>
    <w:p>
      <w:pPr>
        <w:numPr>
          <w:ilvl w:val="0"/>
          <w:numId w:val="5"/>
        </w:numPr>
        <w:ind w:firstLine="420"/>
        <w:jc w:val="left"/>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待免费维保期结束后支付合同总金额的10%。</w:t>
      </w:r>
      <w:r/>
    </w:p>
    <w:p>
      <w:pPr>
        <w:ind w:firstLine="42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3.3支付方式：银行转账。</w:t>
      </w:r>
      <w:r/>
    </w:p>
    <w:p>
      <w:pPr>
        <w:spacing w:line="360" w:lineRule="auto"/>
        <w:tabs>
          <w:tab w:val="left" w:pos="567"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四、服务内容及要求：（详见招标文件）。</w:t>
      </w:r>
      <w:r/>
    </w:p>
    <w:p>
      <w:pPr>
        <w:spacing w:line="360" w:lineRule="auto"/>
        <w:tabs>
          <w:tab w:val="left" w:pos="567"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五、服务人员要求：</w:t>
      </w:r>
      <w:r/>
    </w:p>
    <w:p>
      <w:pPr>
        <w:ind w:firstLine="42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①项目负责人：</w:t>
      </w:r>
      <w:r/>
    </w:p>
    <w:p>
      <w:pPr>
        <w:ind w:firstLine="42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②主要技术负责人：</w:t>
      </w:r>
      <w:r/>
    </w:p>
    <w:p>
      <w:pPr>
        <w:ind w:firstLine="42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上述人员如确需调整须经甲方书面同意。对于乙方工作人员确因患病、与乙方解除或终止劳动关系、工伤等乙方不可控原因更换乙方人员的，甲方应当同意更换，但乙方应确保更换的人员胜任本合同约定的工作。</w:t>
      </w:r>
      <w:r/>
    </w:p>
    <w:p>
      <w:pPr>
        <w:spacing w:line="360" w:lineRule="auto"/>
        <w:tabs>
          <w:tab w:val="left" w:pos="567" w:leader="none"/>
        </w:tabs>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rPr>
        <w:t xml:space="preserve">六、</w:t>
      </w:r>
      <w:r>
        <w:rPr>
          <w:rFonts w:hint="eastAsia" w:asciiTheme="minorEastAsia" w:hAnsiTheme="minorEastAsia" w:eastAsiaTheme="minorEastAsia" w:cstheme="minorEastAsia"/>
          <w:b/>
          <w:bCs/>
          <w:color w:val="auto"/>
          <w:sz w:val="21"/>
          <w:szCs w:val="21"/>
          <w:highlight w:val="none"/>
          <w:lang w:val="zh-CN"/>
        </w:rPr>
        <w:t xml:space="preserve">违约责任：</w:t>
      </w:r>
      <w:r/>
    </w:p>
    <w:p>
      <w:pPr>
        <w:ind w:firstLine="420"/>
        <w:jc w:val="left"/>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6</w:t>
      </w:r>
      <w:r>
        <w:rPr>
          <w:rFonts w:hint="eastAsia" w:asciiTheme="minorEastAsia" w:hAnsiTheme="minorEastAsia" w:eastAsiaTheme="minorEastAsia" w:cstheme="minorEastAsia"/>
          <w:color w:val="auto"/>
          <w:sz w:val="21"/>
          <w:szCs w:val="21"/>
          <w:highlight w:val="none"/>
          <w:lang w:val="zh-CN"/>
        </w:rPr>
        <w:t xml:space="preserve">.1甲方的违约责任</w:t>
      </w:r>
      <w:r/>
    </w:p>
    <w:p>
      <w:pPr>
        <w:ind w:firstLine="420"/>
        <w:jc w:val="left"/>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（1）甲方未按合同的约定支付项目款给乙方或未给乙方提供合同约定的必要工作条件而造成停窝工时，工期顺延。</w:t>
      </w:r>
      <w:r/>
    </w:p>
    <w:p>
      <w:pPr>
        <w:ind w:firstLine="420"/>
        <w:jc w:val="left"/>
        <w:spacing w:line="360" w:lineRule="auto"/>
        <w:rPr>
          <w:rStyle w:val="970"/>
          <w:color w:val="auto"/>
          <w:highlight w:val="none"/>
        </w:rPr>
      </w:pPr>
      <w:r>
        <w:rPr>
          <w:rFonts w:hint="eastAsia" w:asciiTheme="minorEastAsia" w:hAnsiTheme="minorEastAsia" w:eastAsiaTheme="minorEastAsia" w:cstheme="minorEastAsia"/>
          <w:color w:val="auto"/>
          <w:sz w:val="21"/>
          <w:szCs w:val="21"/>
          <w:highlight w:val="none"/>
          <w:lang w:val="zh-CN"/>
        </w:rPr>
        <w:t xml:space="preserve">（2）在项目实施过程中，因甲方更改已确定的技术要求引起工作量的增加，给乙方造成窝工、人工及材料的损失，同时工期顺延。</w:t>
      </w:r>
      <w:r/>
    </w:p>
    <w:p>
      <w:pPr>
        <w:ind w:firstLine="420"/>
        <w:jc w:val="left"/>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（3）在合同履行期间，甲方要求终止或解除合同（仅指</w:t>
      </w:r>
      <w:r>
        <w:rPr>
          <w:rFonts w:hint="eastAsia" w:asciiTheme="minorEastAsia" w:hAnsiTheme="minorEastAsia" w:eastAsiaTheme="minorEastAsia" w:cstheme="minorEastAsia"/>
          <w:color w:val="auto"/>
          <w:sz w:val="21"/>
          <w:szCs w:val="21"/>
          <w:highlight w:val="none"/>
          <w:lang w:val="en-US" w:eastAsia="zh-CN"/>
        </w:rPr>
        <w:t xml:space="preserve">甲方</w:t>
      </w:r>
      <w:r>
        <w:rPr>
          <w:rFonts w:hint="eastAsia" w:asciiTheme="minorEastAsia" w:hAnsiTheme="minorEastAsia" w:eastAsiaTheme="minorEastAsia" w:cstheme="minorEastAsia"/>
          <w:color w:val="auto"/>
          <w:sz w:val="21"/>
          <w:szCs w:val="21"/>
          <w:highlight w:val="none"/>
          <w:lang w:val="zh-CN"/>
        </w:rPr>
        <w:t xml:space="preserve">原因造成），应及时书面通知乙方；乙方已开始工作的，按实际工作进度进行支付。</w:t>
      </w:r>
      <w:r/>
    </w:p>
    <w:p>
      <w:pPr>
        <w:ind w:firstLine="420"/>
        <w:jc w:val="left"/>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6</w:t>
      </w:r>
      <w:r>
        <w:rPr>
          <w:rFonts w:hint="eastAsia" w:asciiTheme="minorEastAsia" w:hAnsiTheme="minorEastAsia" w:eastAsiaTheme="minorEastAsia" w:cstheme="minorEastAsia"/>
          <w:color w:val="auto"/>
          <w:sz w:val="21"/>
          <w:szCs w:val="21"/>
          <w:highlight w:val="none"/>
          <w:lang w:val="zh-CN"/>
        </w:rPr>
        <w:t xml:space="preserve">.2乙方的违约</w:t>
      </w:r>
      <w:r/>
    </w:p>
    <w:p>
      <w:pPr>
        <w:numPr>
          <w:ilvl w:val="0"/>
          <w:numId w:val="6"/>
        </w:numPr>
        <w:ind w:firstLine="420"/>
        <w:jc w:val="left"/>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乙方需保证项目实施过程中设备、人员的数量和工作进度，由于乙方自身原因导致工期延误的，</w:t>
      </w:r>
      <w:r>
        <w:rPr>
          <w:rFonts w:hint="eastAsia" w:asciiTheme="minorEastAsia" w:hAnsiTheme="minorEastAsia" w:eastAsiaTheme="minorEastAsia" w:cstheme="minorEastAsia"/>
          <w:color w:val="auto"/>
          <w:sz w:val="21"/>
          <w:szCs w:val="21"/>
          <w:highlight w:val="none"/>
          <w:lang w:val="en-US" w:eastAsia="zh-CN"/>
        </w:rPr>
        <w:t xml:space="preserve">拖延时间不超过30天的，</w:t>
      </w:r>
      <w:r>
        <w:rPr>
          <w:rFonts w:hint="eastAsia" w:ascii="宋体" w:hAnsi="宋体" w:eastAsia="宋体" w:cs="宋体"/>
          <w:color w:val="auto"/>
          <w:sz w:val="21"/>
          <w:szCs w:val="21"/>
          <w:highlight w:val="none"/>
        </w:rPr>
        <w:t xml:space="preserve">每延期一天，按合同价款的千分之一承担违约责任</w:t>
      </w:r>
      <w:r>
        <w:rPr>
          <w:rFonts w:hint="eastAsia" w:ascii="宋体" w:hAnsi="宋体" w:eastAsia="宋体" w:cs="宋体"/>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zh-CN"/>
        </w:rPr>
        <w:t xml:space="preserve">拖延时间超过30天的，甲方有权解除合同，并要求乙方赔偿该阶段工作合同总金额10%的误工等损失；但甲方同意或甲方延期提供资料、未办理相关许可、临时变更设计方案，逾期付款、推迟或延误验收、评审时间等甲方原因引起的工期延误，乙方不负有违约责任。</w:t>
      </w:r>
      <w:r/>
    </w:p>
    <w:p>
      <w:pPr>
        <w:ind w:firstLine="420"/>
        <w:jc w:val="left"/>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zh-CN"/>
        </w:rPr>
        <w:t xml:space="preserve">）乙方必须保证团队工作人员不低于招标文件的要求；其中项目负责人及主要技术负责人不得更换（在经事实证明其无法胜任所在职务的情况下，甲方可要求更换）；其他技术人员必须保证80%不更换；如乙方违反了前述约定，甲方有权解除合同，同时乙方应按本合同总价的10%承担违约责任。（本合同第五条第二款约定的除外）</w:t>
      </w:r>
      <w:r/>
    </w:p>
    <w:p>
      <w:pPr>
        <w:ind w:firstLine="420"/>
        <w:jc w:val="left"/>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6</w:t>
      </w:r>
      <w:r>
        <w:rPr>
          <w:rFonts w:hint="eastAsia" w:asciiTheme="minorEastAsia" w:hAnsiTheme="minorEastAsia" w:eastAsiaTheme="minorEastAsia" w:cstheme="minorEastAsia"/>
          <w:color w:val="auto"/>
          <w:sz w:val="21"/>
          <w:szCs w:val="21"/>
          <w:highlight w:val="none"/>
          <w:lang w:val="zh-CN"/>
        </w:rPr>
        <w:t xml:space="preserve">.3如果发生了第</w:t>
      </w:r>
      <w:r>
        <w:rPr>
          <w:rFonts w:hint="eastAsia" w:asciiTheme="minorEastAsia" w:hAnsiTheme="minorEastAsia" w:eastAsiaTheme="minorEastAsia" w:cstheme="minorEastAsia"/>
          <w:color w:val="auto"/>
          <w:sz w:val="21"/>
          <w:szCs w:val="21"/>
          <w:highlight w:val="none"/>
        </w:rPr>
        <w:t xml:space="preserve">6</w:t>
      </w:r>
      <w:r>
        <w:rPr>
          <w:rFonts w:hint="eastAsia" w:asciiTheme="minorEastAsia" w:hAnsiTheme="minorEastAsia" w:eastAsiaTheme="minorEastAsia" w:cstheme="minorEastAsia"/>
          <w:color w:val="auto"/>
          <w:sz w:val="21"/>
          <w:szCs w:val="21"/>
          <w:highlight w:val="none"/>
          <w:lang w:val="zh-CN"/>
        </w:rPr>
        <w:t xml:space="preserve">.1款或第</w:t>
      </w:r>
      <w:r>
        <w:rPr>
          <w:rFonts w:hint="eastAsia" w:asciiTheme="minorEastAsia" w:hAnsiTheme="minorEastAsia" w:eastAsiaTheme="minorEastAsia" w:cstheme="minorEastAsia"/>
          <w:color w:val="auto"/>
          <w:sz w:val="21"/>
          <w:szCs w:val="21"/>
          <w:highlight w:val="none"/>
        </w:rPr>
        <w:t xml:space="preserve">6</w:t>
      </w:r>
      <w:r>
        <w:rPr>
          <w:rFonts w:hint="eastAsia" w:asciiTheme="minorEastAsia" w:hAnsiTheme="minorEastAsia" w:eastAsiaTheme="minorEastAsia" w:cstheme="minorEastAsia"/>
          <w:color w:val="auto"/>
          <w:sz w:val="21"/>
          <w:szCs w:val="21"/>
          <w:highlight w:val="none"/>
          <w:lang w:val="zh-CN"/>
        </w:rPr>
        <w:t xml:space="preserve">.2款所述的情况，则利益受到损害的一方有权向另一方提出索赔，但赔偿应限于下列情况：</w:t>
      </w:r>
      <w:r/>
    </w:p>
    <w:p>
      <w:pPr>
        <w:ind w:firstLine="420"/>
        <w:jc w:val="left"/>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（1）赔偿应是因违约或人员失职、渎职所造成的可合理预见的损失或损害的数额，而不是其他；</w:t>
      </w:r>
      <w:r/>
    </w:p>
    <w:p>
      <w:pPr>
        <w:ind w:firstLine="420"/>
        <w:jc w:val="left"/>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（2）如果认为任一方与第三方共同对另一方负有责任时，负有责任的一方所支付的赔偿比例应限于由于其违约所应负责的那部分比例。</w:t>
      </w:r>
      <w:r/>
    </w:p>
    <w:p>
      <w:pPr>
        <w:ind w:firstLine="420"/>
        <w:spacing w:line="440" w:lineRule="exact"/>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6</w:t>
      </w:r>
      <w:r>
        <w:rPr>
          <w:rFonts w:hint="eastAsia" w:asciiTheme="minorEastAsia" w:hAnsiTheme="minorEastAsia" w:eastAsiaTheme="minorEastAsia" w:cstheme="minorEastAsia"/>
          <w:color w:val="auto"/>
          <w:sz w:val="21"/>
          <w:szCs w:val="21"/>
          <w:highlight w:val="none"/>
          <w:lang w:val="zh-CN"/>
        </w:rPr>
        <w:t xml:space="preserve">.4责任期限</w:t>
      </w:r>
      <w:r/>
    </w:p>
    <w:p>
      <w:pPr>
        <w:ind w:firstLine="420"/>
        <w:spacing w:line="440" w:lineRule="exact"/>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乙方与甲方双方的责任与义务期限为合同协议书或合同条款规定的时间范围。</w:t>
      </w:r>
      <w:r/>
    </w:p>
    <w:p>
      <w:pPr>
        <w:spacing w:line="44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七、</w:t>
      </w:r>
      <w:r>
        <w:rPr>
          <w:rFonts w:hint="eastAsia" w:asciiTheme="minorEastAsia" w:hAnsiTheme="minorEastAsia" w:eastAsiaTheme="minorEastAsia" w:cstheme="minorEastAsia"/>
          <w:b/>
          <w:color w:val="auto"/>
          <w:sz w:val="21"/>
          <w:szCs w:val="21"/>
          <w:highlight w:val="none"/>
          <w:lang w:eastAsia="zh-CN"/>
        </w:rPr>
        <w:t xml:space="preserve">其他</w:t>
      </w:r>
      <w:r>
        <w:rPr>
          <w:rFonts w:hint="eastAsia" w:asciiTheme="minorEastAsia" w:hAnsiTheme="minorEastAsia" w:eastAsiaTheme="minorEastAsia" w:cstheme="minorEastAsia"/>
          <w:b/>
          <w:color w:val="auto"/>
          <w:sz w:val="21"/>
          <w:szCs w:val="21"/>
          <w:highlight w:val="none"/>
        </w:rPr>
        <w:t xml:space="preserve">：</w:t>
      </w:r>
      <w:r/>
    </w:p>
    <w:p>
      <w:pPr>
        <w:ind w:firstLine="420"/>
        <w:spacing w:line="44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7.1法律和法规</w:t>
      </w:r>
      <w:r/>
    </w:p>
    <w:p>
      <w:pPr>
        <w:ind w:firstLine="420"/>
        <w:spacing w:line="44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本合同必须服从国家的现行法律和法规，对合同的解释应以国家的现行法律和法规为准。</w:t>
      </w:r>
      <w:r/>
    </w:p>
    <w:p>
      <w:pPr>
        <w:ind w:firstLine="420"/>
        <w:spacing w:line="44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7.</w:t>
      </w:r>
      <w:r>
        <w:rPr>
          <w:rFonts w:hint="eastAsia" w:asciiTheme="minorEastAsia" w:hAnsiTheme="minorEastAsia" w:eastAsiaTheme="minorEastAsia" w:cstheme="minorEastAsia"/>
          <w:bCs/>
          <w:color w:val="auto"/>
          <w:sz w:val="21"/>
          <w:szCs w:val="21"/>
          <w:highlight w:val="none"/>
          <w:lang w:val="en-US" w:eastAsia="zh-CN"/>
        </w:rPr>
        <w:t xml:space="preserve">2</w:t>
      </w:r>
      <w:r>
        <w:rPr>
          <w:rFonts w:hint="eastAsia" w:asciiTheme="minorEastAsia" w:hAnsiTheme="minorEastAsia" w:eastAsiaTheme="minorEastAsia" w:cstheme="minorEastAsia"/>
          <w:bCs/>
          <w:color w:val="auto"/>
          <w:sz w:val="21"/>
          <w:szCs w:val="21"/>
          <w:highlight w:val="none"/>
        </w:rPr>
        <w:t xml:space="preserve">版权</w:t>
      </w:r>
      <w:r/>
    </w:p>
    <w:p>
      <w:pPr>
        <w:ind w:firstLine="420"/>
        <w:spacing w:line="44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版权和所有权归甲方所有，乙方拥有署名权，甲方有权在审定后公开展示成果，并通过传播、媒介、专业杂志、书刊及其他形式介绍、展示、评价。未经甲方同意，任何单位和个人都无权以任何形式向社会公开展示成果。</w:t>
      </w:r>
      <w:r/>
    </w:p>
    <w:p>
      <w:pPr>
        <w:ind w:firstLine="420"/>
        <w:spacing w:line="44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7.</w:t>
      </w:r>
      <w:r>
        <w:rPr>
          <w:rFonts w:hint="eastAsia" w:asciiTheme="minorEastAsia" w:hAnsiTheme="minorEastAsia" w:eastAsiaTheme="minorEastAsia" w:cstheme="minorEastAsia"/>
          <w:bCs/>
          <w:color w:val="auto"/>
          <w:sz w:val="21"/>
          <w:szCs w:val="21"/>
          <w:highlight w:val="none"/>
          <w:lang w:val="en-US" w:eastAsia="zh-CN"/>
        </w:rPr>
        <w:t xml:space="preserve">3</w:t>
      </w:r>
      <w:r>
        <w:rPr>
          <w:rFonts w:hint="eastAsia" w:asciiTheme="minorEastAsia" w:hAnsiTheme="minorEastAsia" w:eastAsiaTheme="minorEastAsia" w:cstheme="minorEastAsia"/>
          <w:bCs/>
          <w:color w:val="auto"/>
          <w:sz w:val="21"/>
          <w:szCs w:val="21"/>
          <w:highlight w:val="none"/>
        </w:rPr>
        <w:t xml:space="preserve">保密性</w:t>
      </w:r>
      <w:r/>
    </w:p>
    <w:p>
      <w:pPr>
        <w:ind w:firstLine="420"/>
        <w:spacing w:line="44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除了根据合同履行义务和遵守适用法律以外，双方应将合同的详情视为秘密，中标单位应对本项目的所有基础资料及生产成果负保密责任。未经甲方同意，乙方不得在任何商业或技术论文或</w:t>
      </w:r>
      <w:r>
        <w:rPr>
          <w:rFonts w:hint="eastAsia" w:asciiTheme="minorEastAsia" w:hAnsiTheme="minorEastAsia" w:eastAsiaTheme="minorEastAsia" w:cstheme="minorEastAsia"/>
          <w:bCs/>
          <w:color w:val="auto"/>
          <w:sz w:val="21"/>
          <w:szCs w:val="21"/>
          <w:highlight w:val="none"/>
          <w:lang w:eastAsia="zh-CN"/>
        </w:rPr>
        <w:t xml:space="preserve">其他</w:t>
      </w:r>
      <w:r>
        <w:rPr>
          <w:rFonts w:hint="eastAsia" w:asciiTheme="minorEastAsia" w:hAnsiTheme="minorEastAsia" w:eastAsiaTheme="minorEastAsia" w:cstheme="minorEastAsia"/>
          <w:bCs/>
          <w:color w:val="auto"/>
          <w:sz w:val="21"/>
          <w:szCs w:val="21"/>
          <w:highlight w:val="none"/>
        </w:rPr>
        <w:t xml:space="preserve">场合发表或允许发表</w:t>
      </w:r>
      <w:r>
        <w:rPr>
          <w:rFonts w:hint="eastAsia" w:asciiTheme="minorEastAsia" w:hAnsiTheme="minorEastAsia" w:eastAsiaTheme="minorEastAsia" w:cstheme="minorEastAsia"/>
          <w:bCs/>
          <w:color w:val="auto"/>
          <w:sz w:val="21"/>
          <w:szCs w:val="21"/>
          <w:highlight w:val="none"/>
          <w:lang w:eastAsia="zh-CN"/>
        </w:rPr>
        <w:t xml:space="preserve">或</w:t>
      </w:r>
      <w:r>
        <w:rPr>
          <w:rFonts w:hint="eastAsia" w:asciiTheme="minorEastAsia" w:hAnsiTheme="minorEastAsia" w:eastAsiaTheme="minorEastAsia" w:cstheme="minorEastAsia"/>
          <w:bCs/>
          <w:color w:val="auto"/>
          <w:sz w:val="21"/>
          <w:szCs w:val="21"/>
          <w:highlight w:val="none"/>
        </w:rPr>
        <w:t xml:space="preserve">透露项目的任何细节。</w:t>
      </w:r>
      <w:r/>
    </w:p>
    <w:p>
      <w:pPr>
        <w:spacing w:line="44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八、不可抗力：</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8.1 因不可抗力不能履行合同的，根据不可抗力的影响，部分或者全部免除责任。但合同一方延迟履行后发生不可抗力的，不能免除责任。</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8.2 合同一方因不可抗力不能履行合同的，应当及时通知对方，以减轻可能给对方造成的损失，并应当在合理期限内提供证明。</w:t>
      </w:r>
      <w:r/>
    </w:p>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九、合同修改：</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甲方和乙方都不得擅自变更本合同，但合同继续履行将损害国家和社会公共利益的除外。如必须对合同条款进行改动时，当事人双方须共同签署书面文件，作为合同的补充。</w:t>
      </w:r>
      <w:r/>
    </w:p>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十、合同的解除和转让：</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10.1</w:t>
      </w:r>
      <w:r>
        <w:rPr>
          <w:rFonts w:hint="eastAsia" w:asciiTheme="minorEastAsia" w:hAnsiTheme="minorEastAsia" w:eastAsiaTheme="minorEastAsia" w:cstheme="minorEastAsia"/>
          <w:color w:val="auto"/>
          <w:sz w:val="21"/>
          <w:szCs w:val="21"/>
          <w:highlight w:val="none"/>
        </w:rPr>
        <w:t xml:space="preserve">有下列情形之一，合同一方可以解除合同：</w:t>
      </w:r>
      <w:r/>
    </w:p>
    <w:p>
      <w:pPr>
        <w:numPr>
          <w:ilvl w:val="0"/>
          <w:numId w:val="7"/>
        </w:numPr>
        <w:ind w:firstLine="420"/>
        <w:spacing w:line="360" w:lineRule="auto"/>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乙方</w:t>
      </w:r>
      <w:r>
        <w:rPr>
          <w:rFonts w:hint="eastAsia" w:asciiTheme="minorEastAsia" w:hAnsiTheme="minorEastAsia" w:eastAsiaTheme="minorEastAsia" w:cstheme="minorEastAsia"/>
          <w:bCs w:val="0"/>
          <w:color w:val="auto"/>
          <w:sz w:val="21"/>
          <w:szCs w:val="21"/>
          <w:highlight w:val="none"/>
        </w:rPr>
        <w:t xml:space="preserve">提交的成果不符合本项目规定的</w:t>
      </w:r>
      <w:r>
        <w:rPr>
          <w:rFonts w:hint="eastAsia" w:asciiTheme="minorEastAsia" w:hAnsiTheme="minorEastAsia" w:eastAsiaTheme="minorEastAsia" w:cstheme="minorEastAsia"/>
          <w:bCs w:val="0"/>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甲方有权解除合同</w:t>
      </w:r>
      <w:r>
        <w:rPr>
          <w:rFonts w:hint="eastAsia" w:asciiTheme="minorEastAsia" w:hAnsiTheme="minorEastAsia" w:eastAsiaTheme="minorEastAsia" w:cstheme="minorEastAsia"/>
          <w:bCs/>
          <w:color w:val="auto"/>
          <w:sz w:val="21"/>
          <w:szCs w:val="21"/>
          <w:highlight w:val="none"/>
          <w:lang w:eastAsia="zh-CN"/>
        </w:rPr>
        <w:t xml:space="preserve">；</w:t>
      </w:r>
      <w:r/>
    </w:p>
    <w:p>
      <w:pPr>
        <w:numPr>
          <w:ilvl w:val="0"/>
          <w:numId w:val="7"/>
        </w:numPr>
        <w:ind w:firstLine="420"/>
        <w:spacing w:line="360" w:lineRule="auto"/>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val="0"/>
          <w:color w:val="auto"/>
          <w:sz w:val="21"/>
          <w:szCs w:val="21"/>
          <w:highlight w:val="none"/>
          <w:lang w:val="en-US" w:eastAsia="zh-CN"/>
        </w:rPr>
        <w:t xml:space="preserve">乙方</w:t>
      </w:r>
      <w:r>
        <w:rPr>
          <w:rFonts w:hint="eastAsia" w:asciiTheme="minorEastAsia" w:hAnsiTheme="minorEastAsia" w:eastAsiaTheme="minorEastAsia" w:cstheme="minorEastAsia"/>
          <w:bCs w:val="0"/>
          <w:color w:val="auto"/>
          <w:sz w:val="21"/>
          <w:szCs w:val="21"/>
          <w:highlight w:val="none"/>
        </w:rPr>
        <w:t xml:space="preserve">未经甲方同意，逾期上报成果的</w:t>
      </w:r>
      <w:r>
        <w:rPr>
          <w:rFonts w:hint="eastAsia" w:asciiTheme="minorEastAsia" w:hAnsiTheme="minorEastAsia" w:eastAsiaTheme="minorEastAsia" w:cstheme="minorEastAsia"/>
          <w:bCs w:val="0"/>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甲方有权解除合同</w:t>
      </w:r>
      <w:r>
        <w:rPr>
          <w:rFonts w:hint="eastAsia" w:asciiTheme="minorEastAsia" w:hAnsiTheme="minorEastAsia" w:eastAsiaTheme="minorEastAsia" w:cstheme="minorEastAsia"/>
          <w:bCs/>
          <w:color w:val="auto"/>
          <w:sz w:val="21"/>
          <w:szCs w:val="21"/>
          <w:highlight w:val="none"/>
          <w:lang w:eastAsia="zh-CN"/>
        </w:rPr>
        <w:t xml:space="preserve">；</w:t>
      </w:r>
      <w:r/>
    </w:p>
    <w:p>
      <w:pPr>
        <w:numPr>
          <w:ilvl w:val="0"/>
          <w:numId w:val="7"/>
        </w:num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其他合同约定或法律规定的甲方可以解除合同的情形</w:t>
      </w:r>
      <w:r>
        <w:rPr>
          <w:rFonts w:hint="eastAsia" w:asciiTheme="minorEastAsia" w:hAnsiTheme="minorEastAsia" w:eastAsiaTheme="minorEastAsia" w:cstheme="minorEastAsia"/>
          <w:bCs/>
          <w:color w:val="auto"/>
          <w:sz w:val="21"/>
          <w:szCs w:val="21"/>
          <w:highlight w:val="none"/>
          <w:lang w:eastAsia="zh-CN"/>
        </w:rPr>
        <w:t xml:space="preserve">；</w:t>
      </w:r>
      <w:r/>
    </w:p>
    <w:p>
      <w:pPr>
        <w:numPr>
          <w:ilvl w:val="0"/>
          <w:numId w:val="7"/>
        </w:num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因不可抗力致使不能实现合同目的，未受不可抗力影响的一方有权解除合同</w:t>
      </w:r>
      <w:r>
        <w:rPr>
          <w:rFonts w:hint="eastAsia" w:asciiTheme="minorEastAsia" w:hAnsiTheme="minorEastAsia" w:eastAsiaTheme="minorEastAsia" w:cstheme="minorEastAsia"/>
          <w:color w:val="auto"/>
          <w:sz w:val="21"/>
          <w:szCs w:val="21"/>
          <w:highlight w:val="none"/>
          <w:lang w:eastAsia="zh-CN"/>
        </w:rPr>
        <w:t xml:space="preserve">；</w:t>
      </w:r>
      <w:r/>
    </w:p>
    <w:p>
      <w:pPr>
        <w:numPr>
          <w:ilvl w:val="0"/>
          <w:numId w:val="7"/>
        </w:num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因合同一方违约导致合同不能履行，另一方有权解除合同。</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有权解除合同的一方，应当在违约事实或不可抗力发生之后三十天内书面通知对方以主张解除合同，合同在书面通知到达对方时解除。</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合同的部分和全部都不得转让。</w:t>
      </w:r>
      <w:r/>
    </w:p>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十一、争议解决办法</w:t>
      </w:r>
      <w:r/>
    </w:p>
    <w:p>
      <w:pPr>
        <w:ind w:firstLine="420"/>
        <w:spacing w:line="360" w:lineRule="auto"/>
        <w:rPr>
          <w:rFonts w:hint="eastAsia"/>
          <w:color w:val="auto"/>
          <w:highlight w:val="none"/>
        </w:rPr>
      </w:pPr>
      <w:r>
        <w:rPr>
          <w:rFonts w:hint="eastAsia" w:asciiTheme="minorEastAsia" w:hAnsiTheme="minorEastAsia" w:eastAsiaTheme="minorEastAsia" w:cstheme="minorEastAsia"/>
          <w:color w:val="auto"/>
          <w:sz w:val="21"/>
          <w:szCs w:val="21"/>
          <w:highlight w:val="none"/>
        </w:rPr>
        <w:t xml:space="preserve">本合同在执行过程中，如发生任何争端、纠纷或因违反、终止本合同而引起的对损失损害的任何赔偿，应事先协商，在甲方和乙方之间达成一致意见。协商不成时应向甲方所在地法院起诉。</w:t>
      </w:r>
      <w:r/>
    </w:p>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十二、合同生效及份数</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12.1本合同经甲乙双方法定（授权）代表人签字（或盖章）并盖单位公章后生效。</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12.2本合同一式</w:t>
      </w:r>
      <w:r>
        <w:rPr>
          <w:rFonts w:hint="eastAsia" w:asciiTheme="minorEastAsia" w:hAnsiTheme="minorEastAsia" w:eastAsiaTheme="minorEastAsia" w:cstheme="minorEastAsia"/>
          <w:color w:val="auto"/>
          <w:sz w:val="21"/>
          <w:szCs w:val="21"/>
          <w:highlight w:val="none"/>
          <w:lang w:val="en-US" w:eastAsia="zh-CN"/>
        </w:rPr>
        <w:t xml:space="preserve">伍</w:t>
      </w:r>
      <w:r>
        <w:rPr>
          <w:rFonts w:hint="eastAsia" w:asciiTheme="minorEastAsia" w:hAnsiTheme="minorEastAsia" w:eastAsiaTheme="minorEastAsia" w:cstheme="minorEastAsia"/>
          <w:color w:val="auto"/>
          <w:sz w:val="21"/>
          <w:szCs w:val="21"/>
          <w:highlight w:val="none"/>
        </w:rPr>
        <w:t xml:space="preserve">份，甲方、乙方各执</w:t>
      </w:r>
      <w:r>
        <w:rPr>
          <w:rFonts w:hint="eastAsia" w:asciiTheme="minorEastAsia" w:hAnsiTheme="minorEastAsia" w:eastAsiaTheme="minorEastAsia" w:cstheme="minorEastAsia"/>
          <w:color w:val="auto"/>
          <w:sz w:val="21"/>
          <w:szCs w:val="21"/>
          <w:highlight w:val="none"/>
          <w:lang w:eastAsia="zh-CN"/>
        </w:rPr>
        <w:t xml:space="preserve">贰</w:t>
      </w:r>
      <w:r>
        <w:rPr>
          <w:rFonts w:hint="eastAsia" w:asciiTheme="minorEastAsia" w:hAnsiTheme="minorEastAsia" w:eastAsiaTheme="minorEastAsia" w:cstheme="minorEastAsia"/>
          <w:color w:val="auto"/>
          <w:sz w:val="21"/>
          <w:szCs w:val="21"/>
          <w:highlight w:val="none"/>
        </w:rPr>
        <w:t xml:space="preserve">份，采购代理机构</w:t>
      </w:r>
      <w:r>
        <w:rPr>
          <w:rFonts w:hint="eastAsia" w:asciiTheme="minorEastAsia" w:hAnsiTheme="minorEastAsia" w:eastAsiaTheme="minorEastAsia" w:cstheme="minorEastAsia"/>
          <w:color w:val="auto"/>
          <w:sz w:val="21"/>
          <w:szCs w:val="21"/>
          <w:highlight w:val="none"/>
          <w:lang w:eastAsia="zh-CN"/>
        </w:rPr>
        <w:t xml:space="preserve">壹</w:t>
      </w:r>
      <w:r>
        <w:rPr>
          <w:rFonts w:hint="eastAsia" w:asciiTheme="minorEastAsia" w:hAnsiTheme="minorEastAsia" w:eastAsiaTheme="minorEastAsia" w:cstheme="minorEastAsia"/>
          <w:color w:val="auto"/>
          <w:sz w:val="21"/>
          <w:szCs w:val="21"/>
          <w:highlight w:val="none"/>
        </w:rPr>
        <w:t xml:space="preserve">份。</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甲方（盖章）：</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                               乙方（盖章）：</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负责人（签字）：</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                               负责人（签字）：</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日期：</w:t>
      </w:r>
      <w:r/>
    </w:p>
    <w:p>
      <w:pPr>
        <w:jc w:val="left"/>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br w:type="page" w:clear="all"/>
      </w:r>
      <w:bookmarkEnd w:id="73"/>
      <w:r/>
      <w:bookmarkEnd w:id="78"/>
      <w:r/>
      <w:r/>
    </w:p>
    <w:p>
      <w:pPr>
        <w:jc w:val="center"/>
        <w:spacing w:line="360" w:lineRule="auto"/>
        <w:rPr>
          <w:rFonts w:hint="eastAsia" w:asciiTheme="minorEastAsia" w:hAnsiTheme="minorEastAsia" w:eastAsiaTheme="minorEastAsia" w:cstheme="minorEastAsia"/>
          <w:b/>
          <w:color w:val="auto"/>
          <w:sz w:val="32"/>
          <w:szCs w:val="32"/>
          <w:highlight w:val="none"/>
        </w:rPr>
        <w:outlineLvl w:val="0"/>
      </w:pPr>
      <w:r>
        <w:rPr>
          <w:rFonts w:hint="eastAsia" w:asciiTheme="minorEastAsia" w:hAnsiTheme="minorEastAsia" w:eastAsiaTheme="minorEastAsia" w:cstheme="minorEastAsia"/>
          <w:b/>
          <w:color w:val="auto"/>
          <w:sz w:val="32"/>
          <w:szCs w:val="32"/>
          <w:highlight w:val="none"/>
        </w:rPr>
        <w:t xml:space="preserve">第六章 评标办法及评分标准</w:t>
      </w:r>
      <w:r/>
    </w:p>
    <w:p>
      <w:pPr>
        <w:jc w:val="left"/>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一、评标办法：</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1.评价和比较采用综合评分法，即指投标文件满足招标文件全部实质性要求，且按照评审因素的量化指标评审得分最高的投标人为中标候选人的评标方法。</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评标时，评标委员会成员按照招标文件规定的评分标准，独立对每个投标人的投标文件进行评价、打分。将评委对投标文件的技术、资质标的评分按算术平均法汇总，计算出每个投标人的技术、资质标评审得分（保留小数点后两位）。价格标得分按法规规定的计算公式直接计算取得。技术、资质标评审得分和价格标得分相加即为投标人的评标总得分。</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3.如评标总得分出现得分相同的，按实际投标报价由低到高顺序排列，以实际投标报价较低的优先作为中标人；得分和实际投标报价均相同的，则由评标委员会以抽签方式确定中标人。</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4.评审委员会启动异常低价投标（响应）审查的情形和具体要求：</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（1）评审过程中出现下列情形之一的，评审委员会应当启动异常低价投标（响应）审查程序：</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①投标（响应）报价低于全部通过符合性审查供应商投标（响应）报价平均值50%的，即投标（响应）报价&lt;全部通过符合性审查供应商投标（响应）报价平均值×50%；</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②投标（响应）报价低于通过符合性审查的次低报价供应商投标（响应）报价50%的，即投标（响应）报价&lt;通过符合性审查的次低报价供应商投标（响应）报价×50%；</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③投标（响应）报价低于采购项目最高限价45%的，即投标（响应）报价&lt;采购项目最高限价×45%；</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④评审委员会基于专业判断，认为供应商报价过低，有可能影响产品质量或者不能诚信履约的其他情形。</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启动异常低价投标（响应）审查后，评审委员会应当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6.针对中小型企业、残疾人福利企业和监狱企业的评审：</w:t>
      </w:r>
      <w:r/>
    </w:p>
    <w:p>
      <w:pPr>
        <w:ind w:firstLine="422"/>
        <w:jc w:val="left"/>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w:t>
      </w:r>
      <w:r>
        <w:rPr>
          <w:rFonts w:hint="eastAsia" w:asciiTheme="minorEastAsia" w:hAnsiTheme="minorEastAsia" w:eastAsiaTheme="minorEastAsia" w:cstheme="minorEastAsia"/>
          <w:color w:val="auto"/>
          <w:sz w:val="21"/>
          <w:szCs w:val="21"/>
          <w:highlight w:val="none"/>
          <w:lang w:eastAsia="zh-CN"/>
        </w:rPr>
        <w:t xml:space="preserve">。</w:t>
      </w:r>
      <w:r/>
    </w:p>
    <w:p>
      <w:pPr>
        <w:pStyle w:val="953"/>
        <w:ind w:firstLine="420"/>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大中型企业与小型、微型企业（残疾人福利单位、监狱企业）组成联合体共同参加政府采购活动的，联合协议中约定小型、微型企业的合同份额占到合同总金额30%以上的，给予联合体6%的价格扣除，用扣除后的价格参加评审。</w:t>
      </w:r>
      <w:r/>
    </w:p>
    <w:p>
      <w:pPr>
        <w:pStyle w:val="953"/>
        <w:ind w:firstLine="420"/>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联合体各方均为小型、微型企业（残疾人福利单位、监狱企业）的，联合体享受20%的价格扣除，用扣除后的价格参加评审。</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如扣除后的价格为最低价的，则作为评审基准价，成交金额则以实际响应报价为准。残疾人福利性单位属于小型、微型企业的，不重复享受政策。服务类项目中供应商若使用退休人员，将不享受中小企业扶持政策。</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①填报“中小企业声明函”需严格按“工信部联企业〔2011〕300号通知中的《中小企业划型标准规定》进行。</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②若供应商提供的声明函或认定证明为虚假材料，按“政府采购法”相关规定处理并报请政府监管部门给予行政处罚。</w:t>
      </w:r>
      <w:r/>
    </w:p>
    <w:p>
      <w:pPr>
        <w:pStyle w:val="982"/>
        <w:ind w:firstLine="422"/>
        <w:spacing w:line="440" w:lineRule="exac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③若为专门面向中小企业采购的项目或者采购包，不再执行价格评审优惠的扶持政策。</w:t>
      </w:r>
      <w:r/>
    </w:p>
    <w:p>
      <w:pPr>
        <w:pStyle w:val="982"/>
        <w:ind w:firstLine="422"/>
        <w:spacing w:line="440" w:lineRule="exac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7</w:t>
      </w:r>
      <w:r>
        <w:rPr>
          <w:rFonts w:hint="eastAsia" w:asciiTheme="minorEastAsia" w:hAnsiTheme="minorEastAsia" w:eastAsiaTheme="minorEastAsia" w:cstheme="minorEastAsia"/>
          <w:b/>
          <w:bCs/>
          <w:color w:val="auto"/>
          <w:sz w:val="21"/>
          <w:szCs w:val="21"/>
          <w:highlight w:val="none"/>
        </w:rPr>
        <w:t xml:space="preserve">.针对联合体投标的，评分标准中涉及的人员、业绩、获奖等证书复印件等证明材料，均以联合体投标的牵头单位为准。</w:t>
      </w:r>
      <w:r/>
    </w:p>
    <w:p>
      <w:pPr>
        <w:pStyle w:val="982"/>
        <w:spacing w:line="440" w:lineRule="exact"/>
        <w:rPr>
          <w:rFonts w:hint="eastAsia" w:asciiTheme="minorEastAsia" w:hAnsiTheme="minorEastAsia" w:eastAsiaTheme="minorEastAsia" w:cstheme="minorEastAsia"/>
          <w:b/>
          <w:bCs w:val="0"/>
          <w:color w:val="auto"/>
          <w:spacing w:val="7"/>
          <w:sz w:val="21"/>
          <w:szCs w:val="21"/>
          <w:highlight w:val="none"/>
        </w:rPr>
      </w:pPr>
      <w:r>
        <w:rPr>
          <w:rFonts w:hint="eastAsia" w:asciiTheme="minorEastAsia" w:hAnsiTheme="minorEastAsia" w:eastAsiaTheme="minorEastAsia" w:cstheme="minorEastAsia"/>
          <w:b/>
          <w:bCs w:val="0"/>
          <w:color w:val="auto"/>
          <w:spacing w:val="7"/>
          <w:sz w:val="21"/>
          <w:szCs w:val="21"/>
          <w:highlight w:val="none"/>
        </w:rPr>
        <w:t xml:space="preserve">二、评分标准：</w:t>
      </w:r>
      <w:r/>
    </w:p>
    <w:p>
      <w:pPr>
        <w:pStyle w:val="982"/>
        <w:ind w:firstLine="448"/>
        <w:spacing w:line="440" w:lineRule="exact"/>
        <w:rPr>
          <w:rFonts w:hint="eastAsia" w:asciiTheme="minorEastAsia" w:hAnsiTheme="minorEastAsia" w:eastAsiaTheme="minorEastAsia" w:cstheme="minorEastAsia"/>
          <w:b/>
          <w:bCs w:val="0"/>
          <w:color w:val="auto"/>
          <w:spacing w:val="7"/>
          <w:sz w:val="21"/>
          <w:szCs w:val="21"/>
          <w:highlight w:val="none"/>
        </w:rPr>
      </w:pPr>
      <w:r>
        <w:rPr>
          <w:rFonts w:hint="eastAsia" w:asciiTheme="minorEastAsia" w:hAnsiTheme="minorEastAsia" w:eastAsiaTheme="minorEastAsia" w:cstheme="minorEastAsia"/>
          <w:b/>
          <w:bCs w:val="0"/>
          <w:color w:val="auto"/>
          <w:spacing w:val="7"/>
          <w:sz w:val="21"/>
          <w:szCs w:val="21"/>
          <w:highlight w:val="none"/>
        </w:rPr>
        <w:t xml:space="preserve">（一）价格分（10分）</w:t>
      </w:r>
      <w:r/>
    </w:p>
    <w:p>
      <w:pPr>
        <w:pStyle w:val="982"/>
        <w:ind w:firstLine="448"/>
        <w:spacing w:line="440" w:lineRule="exact"/>
        <w:rPr>
          <w:rFonts w:hint="eastAsia" w:asciiTheme="minorEastAsia" w:hAnsiTheme="minorEastAsia" w:eastAsiaTheme="minorEastAsia" w:cstheme="minorEastAsia"/>
          <w:bCs/>
          <w:color w:val="auto"/>
          <w:spacing w:val="7"/>
          <w:sz w:val="21"/>
          <w:szCs w:val="21"/>
          <w:highlight w:val="none"/>
        </w:rPr>
      </w:pPr>
      <w:r>
        <w:rPr>
          <w:rFonts w:hint="eastAsia" w:asciiTheme="minorEastAsia" w:hAnsiTheme="minorEastAsia" w:eastAsiaTheme="minorEastAsia" w:cstheme="minorEastAsia"/>
          <w:bCs/>
          <w:color w:val="auto"/>
          <w:spacing w:val="7"/>
          <w:sz w:val="21"/>
          <w:szCs w:val="21"/>
          <w:highlight w:val="none"/>
        </w:rPr>
        <w:t xml:space="preserve">投标报价低于或等于财政预算价格的，为有效投标报价。超财政预算的投标报价为无效投标报价。</w:t>
      </w:r>
      <w:r/>
    </w:p>
    <w:p>
      <w:pPr>
        <w:pStyle w:val="982"/>
        <w:ind w:firstLine="448"/>
        <w:spacing w:line="440" w:lineRule="exact"/>
        <w:rPr>
          <w:rFonts w:hint="eastAsia" w:ascii="宋体" w:hAnsi="宋体" w:eastAsia="宋体" w:cs="宋体"/>
          <w:bCs/>
          <w:color w:val="auto"/>
          <w:spacing w:val="7"/>
          <w:sz w:val="21"/>
          <w:szCs w:val="21"/>
          <w:highlight w:val="none"/>
        </w:rPr>
      </w:pPr>
      <w:r>
        <w:rPr>
          <w:rFonts w:hint="eastAsia" w:asciiTheme="minorEastAsia" w:hAnsiTheme="minorEastAsia" w:eastAsiaTheme="minorEastAsia" w:cstheme="minorEastAsia"/>
          <w:bCs/>
          <w:color w:val="auto"/>
          <w:spacing w:val="7"/>
          <w:sz w:val="21"/>
          <w:szCs w:val="21"/>
          <w:highlight w:val="none"/>
        </w:rPr>
        <w:t xml:space="preserve">在所有有效投标报价中满足招标文件要求，且投标价格最低的投标报价为评标基准价，其</w:t>
      </w:r>
      <w:r>
        <w:rPr>
          <w:rFonts w:hint="eastAsia" w:ascii="宋体" w:hAnsi="宋体" w:eastAsia="宋体" w:cs="宋体"/>
          <w:bCs/>
          <w:color w:val="auto"/>
          <w:spacing w:val="7"/>
          <w:sz w:val="21"/>
          <w:szCs w:val="21"/>
          <w:highlight w:val="none"/>
        </w:rPr>
        <w:t xml:space="preserve">他投标人的价格分按照下列公式计算（计算结果四舍五入保留两位小数）。</w:t>
      </w:r>
      <w:r/>
    </w:p>
    <w:p>
      <w:pPr>
        <w:pStyle w:val="982"/>
        <w:ind w:firstLine="448"/>
        <w:spacing w:line="440" w:lineRule="exact"/>
        <w:rPr>
          <w:rFonts w:hint="eastAsia" w:ascii="宋体" w:hAnsi="宋体" w:eastAsia="宋体" w:cs="宋体"/>
          <w:bCs/>
          <w:color w:val="auto"/>
          <w:spacing w:val="7"/>
          <w:sz w:val="21"/>
          <w:szCs w:val="21"/>
          <w:highlight w:val="none"/>
        </w:rPr>
      </w:pPr>
      <w:r>
        <w:rPr>
          <w:rFonts w:hint="eastAsia" w:ascii="宋体" w:hAnsi="宋体" w:eastAsia="宋体" w:cs="宋体"/>
          <w:bCs/>
          <w:color w:val="auto"/>
          <w:spacing w:val="7"/>
          <w:sz w:val="21"/>
          <w:szCs w:val="21"/>
          <w:highlight w:val="none"/>
        </w:rPr>
        <w:t xml:space="preserve">投标报价得分＝（评标基准价/投标报价）×10％×100</w:t>
      </w:r>
      <w:r/>
    </w:p>
    <w:p>
      <w:pPr>
        <w:ind w:firstLine="48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（二）技术方案（4</w:t>
      </w:r>
      <w:r>
        <w:rPr>
          <w:rFonts w:hint="eastAsia" w:ascii="宋体" w:hAnsi="宋体" w:eastAsia="宋体" w:cs="宋体"/>
          <w:b/>
          <w:bCs/>
          <w:color w:val="auto"/>
          <w:sz w:val="21"/>
          <w:szCs w:val="21"/>
          <w:highlight w:val="none"/>
          <w:lang w:val="en-US" w:eastAsia="zh-CN"/>
        </w:rPr>
        <w:t xml:space="preserve">0</w:t>
      </w:r>
      <w:r>
        <w:rPr>
          <w:rFonts w:hint="eastAsia" w:ascii="宋体" w:hAnsi="宋体" w:eastAsia="宋体" w:cs="宋体"/>
          <w:b/>
          <w:bCs/>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eastAsia="zh-CN"/>
        </w:rPr>
        <w:t xml:space="preserve">对</w:t>
      </w:r>
      <w:r>
        <w:rPr>
          <w:rFonts w:hint="eastAsia" w:ascii="宋体" w:hAnsi="宋体" w:eastAsia="宋体" w:cs="宋体"/>
          <w:color w:val="auto"/>
          <w:sz w:val="21"/>
          <w:szCs w:val="21"/>
          <w:highlight w:val="none"/>
        </w:rPr>
        <w:t xml:space="preserve">本项目的理解程度（5分）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根据供应商对本项目实施背景、项目需求、项目建设内容理解程度评价。对项目理解全面、客观、深入的得5分；理解较深刻的得3分；理解一般的得1分；未提供的不得分，最高得5分。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总体技术方案及重难点分析（1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（1）总体技术方案（</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总体技术方案清晰、科学合理、具有前瞻性、与项目背景契合程度高的得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分；方案较清晰、较合理、与项目背景有一定契合度的得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分；方案一般或简单的得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分；未提供的不得分，最高得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（2）项目重点难点分析（3分）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供应商针对本项目的重点难点分析全面精准、切实合理得3分；重点、难点分析切合实际</w:t>
      </w:r>
      <w:r>
        <w:rPr>
          <w:rFonts w:hint="eastAsia" w:ascii="宋体" w:hAnsi="宋体" w:eastAsia="宋体" w:cs="宋体"/>
          <w:color w:val="auto"/>
          <w:sz w:val="21"/>
          <w:szCs w:val="21"/>
          <w:highlight w:val="none"/>
          <w:lang w:eastAsia="zh-CN"/>
        </w:rPr>
        <w:t xml:space="preserve">、具</w:t>
      </w:r>
      <w:r>
        <w:rPr>
          <w:rFonts w:hint="eastAsia" w:ascii="宋体" w:hAnsi="宋体" w:eastAsia="宋体" w:cs="宋体"/>
          <w:color w:val="auto"/>
          <w:sz w:val="21"/>
          <w:szCs w:val="21"/>
          <w:highlight w:val="none"/>
        </w:rPr>
        <w:t xml:space="preserve">有一定合理性的得2分；方案一般或简单的得1分；未提供的不得分，最高得3分。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（3）项目重点难点解决方案（</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供应商针对本项目的重点难点解决方案切实可行的得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分；解决方案有一定可行性得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分；方案一般的得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分；方案差或者未提供的不得分，最高得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详细技术方案（2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（1）普查单元</w:t>
      </w:r>
      <w:r>
        <w:rPr>
          <w:rFonts w:hint="eastAsia" w:ascii="宋体" w:hAnsi="宋体" w:eastAsia="宋体" w:cs="宋体"/>
          <w:color w:val="auto"/>
          <w:sz w:val="21"/>
          <w:szCs w:val="21"/>
          <w:highlight w:val="none"/>
          <w:lang w:val="en-US" w:eastAsia="zh-CN"/>
        </w:rPr>
        <w:t xml:space="preserve">划分及调查</w:t>
      </w:r>
      <w:r>
        <w:rPr>
          <w:rFonts w:hint="eastAsia" w:ascii="宋体" w:hAnsi="宋体" w:eastAsia="宋体" w:cs="宋体"/>
          <w:color w:val="auto"/>
          <w:sz w:val="21"/>
          <w:szCs w:val="21"/>
          <w:highlight w:val="none"/>
        </w:rPr>
        <w:t xml:space="preserve">（3分）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根据响应文件中供应商的普查单元</w:t>
      </w:r>
      <w:r>
        <w:rPr>
          <w:rFonts w:hint="eastAsia" w:ascii="宋体" w:hAnsi="宋体" w:eastAsia="宋体" w:cs="宋体"/>
          <w:color w:val="auto"/>
          <w:sz w:val="21"/>
          <w:szCs w:val="21"/>
          <w:highlight w:val="none"/>
          <w:lang w:val="en-US" w:eastAsia="zh-CN"/>
        </w:rPr>
        <w:t xml:space="preserve">划分及调查</w:t>
      </w:r>
      <w:r>
        <w:rPr>
          <w:rFonts w:hint="eastAsia" w:ascii="宋体" w:hAnsi="宋体" w:eastAsia="宋体" w:cs="宋体"/>
          <w:color w:val="auto"/>
          <w:sz w:val="21"/>
          <w:szCs w:val="21"/>
          <w:highlight w:val="none"/>
        </w:rPr>
        <w:t xml:space="preserve">方案评价，方案完整、科学合理的得3分；方案较完整、较科学的得2分；方案简单、内容一般的得1分；未提供的不得分，最高得3分。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管线</w:t>
      </w:r>
      <w:r>
        <w:rPr>
          <w:rFonts w:hint="eastAsia" w:ascii="宋体" w:hAnsi="宋体" w:eastAsia="宋体" w:cs="宋体"/>
          <w:color w:val="auto"/>
          <w:sz w:val="21"/>
          <w:szCs w:val="21"/>
          <w:highlight w:val="none"/>
        </w:rPr>
        <w:t xml:space="preserve">普查方案（</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根据响应文件中供应商的普查方案（含翻档补录）评价，方案完整、科学合理的得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分；方案较完整、较科学的得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分；方案一般或</w:t>
      </w:r>
      <w:r>
        <w:rPr>
          <w:rFonts w:hint="eastAsia" w:ascii="宋体" w:hAnsi="宋体" w:eastAsia="宋体" w:cs="宋体"/>
          <w:color w:val="auto"/>
          <w:sz w:val="21"/>
          <w:szCs w:val="21"/>
          <w:highlight w:val="none"/>
          <w:lang w:val="en-US" w:eastAsia="zh-CN"/>
        </w:rPr>
        <w:t xml:space="preserve">简单</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分；未提供的不得分，最高得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）三维建模（</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根据响应文件中供应商的三维建模方案评价，方案完整、科学合理的得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分；方案较完整、较科学的得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分；方案一般</w:t>
      </w:r>
      <w:r>
        <w:rPr>
          <w:rFonts w:hint="eastAsia" w:ascii="宋体" w:hAnsi="宋体" w:eastAsia="宋体" w:cs="宋体"/>
          <w:color w:val="auto"/>
          <w:sz w:val="21"/>
          <w:szCs w:val="21"/>
          <w:highlight w:val="none"/>
          <w:lang w:val="en-US" w:eastAsia="zh-CN"/>
        </w:rPr>
        <w:t xml:space="preserve">或简单</w:t>
      </w:r>
      <w:r>
        <w:rPr>
          <w:rFonts w:hint="eastAsia" w:ascii="宋体" w:hAnsi="宋体" w:eastAsia="宋体" w:cs="宋体"/>
          <w:color w:val="auto"/>
          <w:sz w:val="21"/>
          <w:szCs w:val="21"/>
          <w:highlight w:val="none"/>
        </w:rPr>
        <w:t xml:space="preserve">的得1分；未提供的不得分，最高得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）管线普查成果自检方案（包括成图、数据正确性、规范性检测）比较（</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提供完整的检查方案，全面、科学合理、严谨规范的得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分；方案较完整、较科学的得2分；方案一般</w:t>
      </w:r>
      <w:r>
        <w:rPr>
          <w:rFonts w:hint="eastAsia" w:ascii="宋体" w:hAnsi="宋体" w:eastAsia="宋体" w:cs="宋体"/>
          <w:color w:val="auto"/>
          <w:sz w:val="21"/>
          <w:szCs w:val="21"/>
          <w:highlight w:val="none"/>
          <w:lang w:val="en-US" w:eastAsia="zh-CN"/>
        </w:rPr>
        <w:t xml:space="preserve">或简单</w:t>
      </w:r>
      <w:r>
        <w:rPr>
          <w:rFonts w:hint="eastAsia" w:ascii="宋体" w:hAnsi="宋体" w:eastAsia="宋体" w:cs="宋体"/>
          <w:color w:val="auto"/>
          <w:sz w:val="21"/>
          <w:szCs w:val="21"/>
          <w:highlight w:val="none"/>
        </w:rPr>
        <w:t xml:space="preserve">的得1分；未提供的不得分，最高得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971"/>
        <w:ind w:left="0"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）数据入库、平台对接方案（</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根据响应文件中供应商的数据入库、平台对接方案评价，方案完整、科学合理的得 </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分；方案较完整、较科学的得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分；方案一般</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方案较差的得1分；未提供的不得分，最高得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）数据保密与安全措施（</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供应商需保证数据的保密性与安全性，对供应商的数据保密与安全措施的合理性、可实施性评分。相应措施完整、内容详实、科学合理、可实施性强的得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分；措施一般的得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分；措施简单且实施性较差</w:t>
      </w:r>
      <w:r>
        <w:rPr>
          <w:rFonts w:hint="eastAsia" w:ascii="宋体" w:hAnsi="宋体" w:eastAsia="宋体" w:cs="宋体"/>
          <w:color w:val="auto"/>
          <w:sz w:val="21"/>
          <w:szCs w:val="21"/>
          <w:highlight w:val="none"/>
          <w:lang w:val="en-US" w:eastAsia="zh-CN"/>
        </w:rPr>
        <w:t xml:space="preserve">的得1分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未提供的不得分，最高得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8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（三）项目管理措施（1</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项目组织管理及协调（4分）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供应商的项目组织管理方案进行评价，其中包括项目管理机构图、内部实施人员的职责分工、日常管理制度和考核办法、与各管线权属及管理单位的综合协调方案等。人员的职责分工、日常管理制度和考核办法合理的得4分；项目组织管理方案较模糊，但具有一定可实施性的得2分；组织管理方案粗略、存在缺陷的得1分；未提供的不得分，最高得4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项目进度安排（</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对供应商制定的项目进度计划</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包括试验区段、现场施测、内业工作、平台入库整合等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方案进行评价，项目进度安排科学、合理，对项目进度管理完善，提供项目进度计划表，进度计划详细合理，工期控制措施合理的得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分；进度控制</w:t>
      </w:r>
      <w:r>
        <w:rPr>
          <w:rFonts w:hint="eastAsia" w:ascii="宋体" w:hAnsi="宋体" w:eastAsia="宋体" w:cs="宋体"/>
          <w:color w:val="auto"/>
          <w:sz w:val="21"/>
          <w:szCs w:val="21"/>
          <w:highlight w:val="none"/>
          <w:lang w:eastAsia="zh-CN"/>
        </w:rPr>
        <w:t xml:space="preserve">方案</w:t>
      </w:r>
      <w:r>
        <w:rPr>
          <w:rFonts w:hint="eastAsia" w:ascii="宋体" w:hAnsi="宋体" w:eastAsia="宋体" w:cs="宋体"/>
          <w:color w:val="auto"/>
          <w:sz w:val="21"/>
          <w:szCs w:val="21"/>
          <w:highlight w:val="none"/>
          <w:lang w:val="en-US" w:eastAsia="zh-CN"/>
        </w:rPr>
        <w:t xml:space="preserve">一般的得2分；</w:t>
      </w:r>
      <w:r>
        <w:rPr>
          <w:rFonts w:hint="eastAsia" w:ascii="宋体" w:hAnsi="宋体" w:eastAsia="宋体" w:cs="宋体"/>
          <w:color w:val="auto"/>
          <w:sz w:val="21"/>
          <w:szCs w:val="21"/>
          <w:highlight w:val="none"/>
        </w:rPr>
        <w:t xml:space="preserve">进度控制方案粗略、存在缺陷的得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分；未提供的不得分，最高得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质量控制措施（</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对供应商制定的全面的质量管理方案进行评价。相应措施完整、科学合理、符合国家、省、市、区相关标准规范的得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分；措施一般的得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分；措施简单且实施性较差</w:t>
      </w:r>
      <w:r>
        <w:rPr>
          <w:rFonts w:hint="eastAsia" w:ascii="宋体" w:hAnsi="宋体" w:eastAsia="宋体" w:cs="宋体"/>
          <w:color w:val="auto"/>
          <w:sz w:val="21"/>
          <w:szCs w:val="21"/>
          <w:highlight w:val="none"/>
          <w:lang w:val="en-US" w:eastAsia="zh-CN"/>
        </w:rPr>
        <w:t xml:space="preserve">的得1分；</w:t>
      </w:r>
      <w:r>
        <w:rPr>
          <w:rFonts w:hint="eastAsia" w:ascii="宋体" w:hAnsi="宋体" w:eastAsia="宋体" w:cs="宋体"/>
          <w:color w:val="auto"/>
          <w:sz w:val="21"/>
          <w:szCs w:val="21"/>
          <w:highlight w:val="none"/>
        </w:rPr>
        <w:t xml:space="preserve">未提供的不得分，最高得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售后服务能力与承诺（2分）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供应商的售后服务能力与承诺进行评价，包括服务体系、服务内容、响应时间情况等。体系完善、内容详细、响应及时的得2分；体系基本完善、内容一般、响应较及时的得1分；措施简单且实施性较差或未提供的不得分，最高得2分。</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（四）人员配备（1</w:t>
      </w:r>
      <w:r>
        <w:rPr>
          <w:rFonts w:hint="eastAsia" w:ascii="宋体" w:hAnsi="宋体" w:eastAsia="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项目负责人（</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（1）职称（</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分）：项目负责人具备正高级（或研究员级）高级工程师职称的得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分；具有高级工程师职称的得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（2）相关证书（3分）：项目负责人具备注册测绘师资格证书、测绘主管部门颁发的涉密成果管理人员岗位培训合格证书（或</w:t>
      </w:r>
      <w:r>
        <w:rPr>
          <w:rFonts w:hint="eastAsia" w:ascii="宋体" w:hAnsi="宋体" w:eastAsia="宋体" w:cs="宋体"/>
          <w:color w:val="auto"/>
          <w:sz w:val="21"/>
          <w:szCs w:val="21"/>
          <w:highlight w:val="none"/>
          <w:lang w:val="en-US" w:eastAsia="zh-CN"/>
        </w:rPr>
        <w:t xml:space="preserve">在有效期内的</w:t>
      </w:r>
      <w:r>
        <w:rPr>
          <w:rFonts w:hint="eastAsia" w:ascii="宋体" w:hAnsi="宋体" w:eastAsia="宋体" w:cs="宋体"/>
          <w:color w:val="auto"/>
          <w:sz w:val="21"/>
          <w:szCs w:val="21"/>
          <w:highlight w:val="none"/>
        </w:rPr>
        <w:t xml:space="preserve">测绘单位核心涉密人员保密培训证书）或保密主管部门颁发的涉密人员上岗培训证书、PMP项目管理师的，有一项得1分，最高得3分。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（3）奖项（3分）：202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年1月1日以来（以获奖证书发证时间或发文时间为准）参与的测绘类项目中，个人获得国家级优秀测绘工程一等奖</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金奖</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奖项的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每有1个得3分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个人获得省级优秀测绘工程一等奖奖项的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每有1个得1.5分，同一项目不重复计分，本项最高得3分。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技术负责人（技术负责人与项目负责人不可兼任）（</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（1）技术负责人具有高级</w:t>
      </w:r>
      <w:r>
        <w:rPr>
          <w:rFonts w:hint="eastAsia" w:ascii="宋体" w:hAnsi="宋体" w:eastAsia="宋体" w:cs="宋体"/>
          <w:color w:val="auto"/>
          <w:sz w:val="21"/>
          <w:szCs w:val="21"/>
          <w:highlight w:val="none"/>
          <w:lang w:val="en-US" w:eastAsia="zh-CN"/>
        </w:rPr>
        <w:t xml:space="preserve">及以上</w:t>
      </w:r>
      <w:r>
        <w:rPr>
          <w:rFonts w:hint="eastAsia" w:ascii="宋体" w:hAnsi="宋体" w:eastAsia="宋体" w:cs="宋体"/>
          <w:color w:val="auto"/>
          <w:sz w:val="21"/>
          <w:szCs w:val="21"/>
          <w:highlight w:val="none"/>
        </w:rPr>
        <w:t xml:space="preserve">工程师职称的得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（2）技术负责人具备注册测绘师资格证书、测绘主管部门颁发的涉密成果管理人员岗位培训合格证书（或</w:t>
      </w:r>
      <w:r>
        <w:rPr>
          <w:rFonts w:hint="eastAsia" w:ascii="宋体" w:hAnsi="宋体" w:eastAsia="宋体" w:cs="宋体"/>
          <w:color w:val="auto"/>
          <w:sz w:val="21"/>
          <w:szCs w:val="21"/>
          <w:highlight w:val="none"/>
          <w:lang w:val="en-US" w:eastAsia="zh-CN"/>
        </w:rPr>
        <w:t xml:space="preserve">在有效期内的</w:t>
      </w:r>
      <w:r>
        <w:rPr>
          <w:rFonts w:hint="eastAsia" w:ascii="宋体" w:hAnsi="宋体" w:eastAsia="宋体" w:cs="宋体"/>
          <w:color w:val="auto"/>
          <w:sz w:val="21"/>
          <w:szCs w:val="21"/>
          <w:highlight w:val="none"/>
        </w:rPr>
        <w:t xml:space="preserve">测绘单位核心涉密人员保密培训证书）或保密主管部门颁发的涉密人员上岗培训证书、</w:t>
      </w:r>
      <w:r>
        <w:rPr>
          <w:rFonts w:hint="eastAsia" w:ascii="宋体" w:hAnsi="宋体" w:eastAsia="宋体" w:cs="宋体"/>
          <w:bCs/>
          <w:color w:val="auto"/>
          <w:sz w:val="21"/>
          <w:szCs w:val="21"/>
          <w:highlight w:val="none"/>
        </w:rPr>
        <w:t xml:space="preserve">城市</w:t>
      </w:r>
      <w:r>
        <w:rPr>
          <w:rFonts w:hint="eastAsia" w:ascii="宋体" w:hAnsi="宋体" w:eastAsia="宋体" w:cs="宋体"/>
          <w:color w:val="auto"/>
          <w:sz w:val="21"/>
          <w:szCs w:val="21"/>
          <w:highlight w:val="none"/>
        </w:rPr>
        <w:t xml:space="preserve">地下管线探测项目经理及工程监理</w:t>
      </w:r>
      <w:r>
        <w:rPr>
          <w:rFonts w:hint="eastAsia" w:ascii="宋体" w:hAnsi="宋体" w:eastAsia="宋体" w:cs="宋体"/>
          <w:bCs/>
          <w:color w:val="auto"/>
          <w:sz w:val="21"/>
          <w:szCs w:val="21"/>
          <w:highlight w:val="none"/>
        </w:rPr>
        <w:t xml:space="preserve">证书</w:t>
      </w:r>
      <w:r>
        <w:rPr>
          <w:rFonts w:hint="eastAsia" w:ascii="宋体" w:hAnsi="宋体" w:eastAsia="宋体" w:cs="宋体"/>
          <w:color w:val="auto"/>
          <w:sz w:val="21"/>
          <w:szCs w:val="21"/>
          <w:highlight w:val="none"/>
        </w:rPr>
        <w:t xml:space="preserve">、测绘地理信息技术质量培训证书的，有一项得1分，最高得3分。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项目团队（除项目负责人、技术负责人之外）（4分）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项目组人员同时具有高级</w:t>
      </w:r>
      <w:r>
        <w:rPr>
          <w:rFonts w:hint="eastAsia" w:ascii="宋体" w:hAnsi="宋体" w:eastAsia="宋体" w:cs="宋体"/>
          <w:color w:val="auto"/>
          <w:sz w:val="21"/>
          <w:szCs w:val="21"/>
          <w:highlight w:val="none"/>
          <w:lang w:val="en-US" w:eastAsia="zh-CN"/>
        </w:rPr>
        <w:t xml:space="preserve">及以上</w:t>
      </w:r>
      <w:r>
        <w:rPr>
          <w:rFonts w:hint="eastAsia" w:ascii="宋体" w:hAnsi="宋体" w:eastAsia="宋体" w:cs="宋体"/>
          <w:color w:val="auto"/>
          <w:sz w:val="21"/>
          <w:szCs w:val="21"/>
          <w:highlight w:val="none"/>
        </w:rPr>
        <w:t xml:space="preserve">工程师职称证书</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注册测绘师资格证书的，超过6人（不含）得4分，3-6人（含）得2分，3人（含）及以下的得1分，没有不得分。</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1）项目负责人、技术负责人不得为同一人，不可兼任；（2）上述人员必须为投标人正式职工，提供近三个月中任意一个月投标人为其缴纳的社保缴纳证明；（3）相关证书、社保证明材料原件彩色扫描件上传至电子投标文件中并加盖公章，未提供不得分；（4）此项需提供项目团队人员一览表。</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（五）综合实力（</w:t>
      </w:r>
      <w:r>
        <w:rPr>
          <w:rFonts w:hint="eastAsia" w:ascii="宋体" w:hAnsi="宋体" w:eastAsia="宋体" w:cs="宋体"/>
          <w:b/>
          <w:color w:val="auto"/>
          <w:sz w:val="21"/>
          <w:szCs w:val="21"/>
          <w:highlight w:val="none"/>
          <w:lang w:val="en-US" w:eastAsia="zh-CN"/>
        </w:rPr>
        <w:t xml:space="preserve">20</w:t>
      </w:r>
      <w:r>
        <w:rPr>
          <w:rFonts w:hint="eastAsia" w:ascii="宋体" w:hAnsi="宋体" w:eastAsia="宋体" w:cs="宋体"/>
          <w:b/>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认证证书（3分）：投标人具有有效期内ISO质量管理体系认证、职业健康安全管理体系认证、信息安全管理体系认证、环境管理体系认证的，每提供一个得1分，最高3分</w:t>
      </w:r>
      <w:r>
        <w:rPr>
          <w:rFonts w:hint="eastAsia" w:ascii="宋体" w:hAnsi="宋体" w:eastAsia="宋体" w:cs="宋体"/>
          <w:color w:val="auto"/>
          <w:sz w:val="21"/>
          <w:szCs w:val="21"/>
          <w:highlight w:val="none"/>
          <w:lang w:eastAsia="zh-CN"/>
        </w:rPr>
        <w:t xml:space="preserve">。</w:t>
      </w:r>
      <w:r/>
    </w:p>
    <w:p>
      <w:pPr>
        <w:ind w:firstLine="48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注：证书原件彩色扫描件加盖公章上传至电子投标文件，上述证书须在有效期之内，并提供网站查询截图并加盖公章，否则不得分。</w:t>
      </w:r>
      <w:r/>
    </w:p>
    <w:p>
      <w:pPr>
        <w:numPr>
          <w:ilvl w:val="0"/>
          <w:numId w:val="8"/>
        </w:numPr>
        <w:ind w:firstLine="48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奖项（</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分）：自2023年1月1日以来（以获奖证书发证时间或发文时间为准）投标人承担的测绘类项目，获得过国家级优秀测绘工程奖项的，</w:t>
      </w:r>
      <w:r>
        <w:rPr>
          <w:rFonts w:hint="eastAsia" w:ascii="宋体" w:hAnsi="宋体" w:eastAsia="宋体" w:cs="宋体"/>
          <w:color w:val="auto"/>
          <w:sz w:val="21"/>
          <w:szCs w:val="21"/>
          <w:highlight w:val="none"/>
        </w:rPr>
        <w:t xml:space="preserve">每有1个一等奖（金奖）得3分、二等奖（银奖）得2分、三等奖（铜奖）得1分；获得过省级优秀测绘工程奖项的，每有1个一等奖得1.5分、二等奖得1分、三等奖得0.5分；本项最高6分</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（同一项目按最高等级的奖项计分，</w:t>
      </w:r>
      <w:r>
        <w:rPr>
          <w:rFonts w:hint="eastAsia" w:ascii="宋体" w:hAnsi="宋体" w:eastAsia="宋体" w:cs="宋体"/>
          <w:b/>
          <w:bCs/>
          <w:color w:val="auto"/>
          <w:sz w:val="21"/>
          <w:szCs w:val="21"/>
          <w:highlight w:val="none"/>
        </w:rPr>
        <w:t xml:space="preserve">任一级别奖项任一等级项目</w:t>
      </w:r>
      <w:r>
        <w:rPr>
          <w:rFonts w:hint="eastAsia" w:ascii="宋体" w:hAnsi="宋体" w:eastAsia="宋体" w:cs="宋体"/>
          <w:b/>
          <w:bCs/>
          <w:color w:val="auto"/>
          <w:sz w:val="21"/>
          <w:szCs w:val="21"/>
          <w:highlight w:val="none"/>
          <w:lang w:val="en-US" w:eastAsia="zh-CN"/>
        </w:rPr>
        <w:t xml:space="preserve">限评</w:t>
      </w:r>
      <w:r>
        <w:rPr>
          <w:rFonts w:hint="eastAsia" w:ascii="宋体" w:hAnsi="宋体" w:eastAsia="宋体" w:cs="宋体"/>
          <w:b/>
          <w:bCs/>
          <w:color w:val="auto"/>
          <w:sz w:val="21"/>
          <w:szCs w:val="21"/>
          <w:highlight w:val="none"/>
        </w:rPr>
        <w:t xml:space="preserve">两个</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该项评分中提供的奖项与上述项目负责人、技术负责人提供奖项如为同一项目则不重复计分）</w:t>
      </w:r>
      <w:r/>
    </w:p>
    <w:p>
      <w:pPr>
        <w:numPr>
          <w:ilvl w:val="0"/>
          <w:numId w:val="8"/>
        </w:num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著作权或专利（2分）：投标人具有与本项目相关的计算机软件（包括管线数据处理类软件、坐标转换类软件、数据库管理类、管线综合管理类等）著作权或专利的，有一类得0.5分，本项最高</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仪器设备（3分）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投标人应配备有GPS定位仪、全站仪、管线探测仪、三维激光扫描仪，配备齐全得3分，每缺少一项扣1分，扣完为止。</w:t>
      </w:r>
      <w:r/>
    </w:p>
    <w:p>
      <w:pPr>
        <w:ind w:firstLine="48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注：自有设备提供发票原件彩色扫描件、非自有设备提供租赁协议，原件彩色扫描件并加盖公章上传投标文件。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业绩（6分）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年1月1日以来（以</w:t>
      </w:r>
      <w:r>
        <w:rPr>
          <w:rFonts w:hint="eastAsia" w:ascii="宋体" w:hAnsi="宋体" w:eastAsia="宋体" w:cs="宋体"/>
          <w:color w:val="auto"/>
          <w:sz w:val="21"/>
          <w:szCs w:val="21"/>
          <w:highlight w:val="none"/>
          <w:lang w:eastAsia="zh-CN"/>
        </w:rPr>
        <w:t xml:space="preserve">验收</w:t>
      </w:r>
      <w:r>
        <w:rPr>
          <w:rFonts w:hint="eastAsia" w:ascii="宋体" w:hAnsi="宋体" w:eastAsia="宋体" w:cs="宋体"/>
          <w:color w:val="auto"/>
          <w:sz w:val="21"/>
          <w:szCs w:val="21"/>
          <w:highlight w:val="none"/>
        </w:rPr>
        <w:t xml:space="preserve">日期为准），投标人承担过类似本次采购的市政类综合管线测量项目（不包括监理项目），单个项目管线探测工作量大于800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含</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公里的，每有1个得2分；单个项目管线探测工作量大于500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含</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公里小于800公里的，每有1个得1分；本项最高6分，须提供合同及验收报告证明，合同中未明确项目工作量的须提供相关证明材料。</w:t>
      </w:r>
      <w:r/>
    </w:p>
    <w:p>
      <w:pPr>
        <w:ind w:firstLine="48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注：（1）时间以</w:t>
      </w:r>
      <w:r>
        <w:rPr>
          <w:rFonts w:hint="eastAsia" w:ascii="宋体" w:hAnsi="宋体" w:eastAsia="宋体" w:cs="宋体"/>
          <w:b/>
          <w:bCs/>
          <w:color w:val="auto"/>
          <w:sz w:val="21"/>
          <w:szCs w:val="21"/>
          <w:highlight w:val="none"/>
          <w:lang w:eastAsia="zh-CN"/>
        </w:rPr>
        <w:t xml:space="preserve">验收</w:t>
      </w:r>
      <w:r>
        <w:rPr>
          <w:rFonts w:hint="eastAsia" w:ascii="宋体" w:hAnsi="宋体" w:eastAsia="宋体" w:cs="宋体"/>
          <w:b/>
          <w:bCs/>
          <w:color w:val="auto"/>
          <w:sz w:val="21"/>
          <w:szCs w:val="21"/>
          <w:highlight w:val="none"/>
        </w:rPr>
        <w:t xml:space="preserve">时间为准，须提供合同原件、验收报告的彩色扫描件上传至电子响应文件中，未提供不得分。（2）须提供合同发票原件彩色扫描件上传至电子响应文件中，未提供不得分（任意一期）。（3）此项需提供类似业绩一览表。</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1.服务期限、付款步骤如有负偏离的不得中标。</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制作电子投标文件时请将投标资料上传到对应的节点，便于评标委员会评审查阅。如因投标文件内容不清晰、顺序混乱、电子投标文件上传节点错乱，导致评标委员会漏看、错看而未给分的，由投标人自行承担后果。</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3.以上涉及的复印件可用扫描件代替。</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4.针对评分标准中评分的每一条，投标人均应提供相关资料并作出相应说明供评委评判，不提供相关资料的视为不具备该项得分的条件。</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5.防止虚假应标，招标人保留调查的权利，并由此引发的一切调查与诉讼费用由投标人承担。</w:t>
      </w:r>
      <w:r/>
    </w:p>
    <w:p>
      <w:pPr>
        <w:jc w:val="right"/>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（全文完）</w:t>
      </w:r>
      <w:r/>
    </w:p>
    <w:sectPr>
      <w:headerReference w:type="first" r:id="rId9"/>
      <w:footerReference w:type="default" r:id="rId10"/>
      <w:footerReference w:type="even" r:id="rId11"/>
      <w:footerReference w:type="first" r:id="rId12"/>
      <w:footnotePr/>
      <w:endnotePr/>
      <w:type w:val="nextPage"/>
      <w:pgSz w:w="11906" w:h="16838" w:orient="portrait"/>
      <w:pgMar w:top="1077" w:right="1440" w:bottom="1077" w:left="1440" w:header="851"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方正仿宋简体">
    <w:panose1 w:val="020B0503020202020204"/>
  </w:font>
  <w:font w:name="Calibri">
    <w:panose1 w:val="020F0502020204030204"/>
  </w:font>
  <w:font w:name="Courier New">
    <w:panose1 w:val="020703090202050204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ascii="楷体" w:hAnsi="楷体" w:eastAsia="楷体"/>
      </w:rPr>
      <w:pBdr>
        <w:top w:val="none" w:color="auto" w:sz="0" w:space="0"/>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1"/>
                            <w:rPr>
                              <w:rFonts w:hint="eastAsia" w:eastAsia="楷体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1"/>
                      <w:rPr>
                        <w:rFonts w:hint="eastAsia" w:eastAsia="楷体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516237863"/>
                            <w:docPartObj>
                              <w:docPartGallery w:val="autotext"/>
                            </w:docPartObj>
                            <w:rPr/>
                          </w:sdtPr>
                          <w:sdtContent>
                            <w:p>
                              <w:pPr>
                                <w:pStyle w:val="961"/>
                                <w:jc w:val="center"/>
                              </w:pPr>
                              <w:r/>
                              <w:r/>
                            </w:p>
                          </w:sdtContent>
                        </w:sdt>
                        <w:p>
                          <w:pPr>
                            <w:pStyle w:val="957"/>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516237863"/>
                      <w:docPartObj>
                        <w:docPartGallery w:val="autotext"/>
                      </w:docPartObj>
                      <w:rPr/>
                    </w:sdtPr>
                    <w:sdtContent>
                      <w:p>
                        <w:pPr>
                          <w:pStyle w:val="961"/>
                          <w:jc w:val="center"/>
                        </w:pPr>
                        <w:r/>
                        <w:r/>
                      </w:p>
                    </w:sdtContent>
                  </w:sdt>
                  <w:p>
                    <w:pPr>
                      <w:pStyle w:val="95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rStyle w:val="968"/>
      </w:rPr>
      <w:framePr w:wrap="around" w:vAnchor="text" w:hAnchor="margin" w:xAlign="right" w:y="1"/>
    </w:pPr>
    <w:r>
      <w:fldChar w:fldCharType="begin"/>
    </w:r>
    <w:r>
      <w:rPr>
        <w:rStyle w:val="968"/>
      </w:rPr>
      <w:instrText xml:space="preserve">PAGE  </w:instrText>
    </w:r>
    <w:r>
      <w:fldChar w:fldCharType="end"/>
    </w:r>
    <w:r/>
  </w:p>
  <w:p>
    <w:pPr>
      <w:pStyle w:val="96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1"/>
                            <w:rPr>
                              <w:rFonts w:hint="eastAsia" w:eastAsia="楷体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1"/>
                      <w:rPr>
                        <w:rFonts w:hint="eastAsia" w:eastAsia="楷体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ind w:left="420" w:hanging="420"/>
        <w:tabs>
          <w:tab w:val="left" w:pos="420" w:leader="none"/>
        </w:tabs>
      </w:pPr>
      <w:rPr>
        <w:rFonts w:hint="default"/>
        <w:b/>
      </w:rPr>
    </w:lvl>
    <w:lvl w:ilvl="1">
      <w:start w:val="2"/>
      <w:numFmt w:val="decimal"/>
      <w:isLgl w:val="false"/>
      <w:suff w:val="tab"/>
      <w:lvlText w:val="%2．"/>
      <w:lvlJc w:val="left"/>
      <w:pPr>
        <w:ind w:left="780" w:hanging="360"/>
        <w:tabs>
          <w:tab w:val="left" w:pos="780" w:leader="none"/>
        </w:tabs>
      </w:pPr>
      <w:rPr>
        <w:rFonts w:hint="default"/>
      </w:rPr>
    </w:lvl>
    <w:lvl w:ilvl="2">
      <w:start w:val="1"/>
      <w:numFmt w:val="decimal"/>
      <w:isLgl w:val="false"/>
      <w:suff w:val="tab"/>
      <w:lvlText w:val="（%3）"/>
      <w:lvlJc w:val="left"/>
      <w:pPr>
        <w:ind w:left="1560" w:hanging="720"/>
        <w:tabs>
          <w:tab w:val="left" w:pos="1560" w:leader="none"/>
        </w:tabs>
      </w:pPr>
      <w:rPr>
        <w:rFonts w:hint="default"/>
        <w:lang w:val="en-US"/>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4"/>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1134" w:hanging="567"/>
        <w:tabs>
          <w:tab w:val="left" w:pos="1134"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5"/>
  </w:num>
  <w:num w:numId="4">
    <w:abstractNumId w:val="7"/>
  </w:num>
  <w:num w:numId="5">
    <w:abstractNumId w:val="3"/>
  </w:num>
  <w:num w:numId="6">
    <w:abstractNumId w:val="2"/>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8">
    <w:name w:val="Heading 1 Char"/>
    <w:basedOn w:val="951"/>
    <w:link w:val="950"/>
    <w:uiPriority w:val="9"/>
    <w:rPr>
      <w:rFonts w:ascii="Arial" w:hAnsi="Arial" w:eastAsia="Arial" w:cs="Arial"/>
      <w:sz w:val="40"/>
      <w:szCs w:val="40"/>
    </w:rPr>
  </w:style>
  <w:style w:type="paragraph" w:styleId="779">
    <w:name w:val="Heading 2"/>
    <w:basedOn w:val="949"/>
    <w:next w:val="949"/>
    <w:link w:val="780"/>
    <w:uiPriority w:val="9"/>
    <w:unhideWhenUsed/>
    <w:qFormat/>
    <w:pPr>
      <w:keepLines/>
      <w:keepNext/>
      <w:spacing w:before="360" w:after="200"/>
      <w:outlineLvl w:val="1"/>
    </w:pPr>
    <w:rPr>
      <w:rFonts w:ascii="Arial" w:hAnsi="Arial" w:eastAsia="Arial" w:cs="Arial"/>
      <w:sz w:val="34"/>
    </w:rPr>
  </w:style>
  <w:style w:type="character" w:styleId="780">
    <w:name w:val="Heading 2 Char"/>
    <w:basedOn w:val="951"/>
    <w:link w:val="779"/>
    <w:uiPriority w:val="9"/>
    <w:rPr>
      <w:rFonts w:ascii="Arial" w:hAnsi="Arial" w:eastAsia="Arial" w:cs="Arial"/>
      <w:sz w:val="34"/>
    </w:rPr>
  </w:style>
  <w:style w:type="paragraph" w:styleId="781">
    <w:name w:val="Heading 3"/>
    <w:basedOn w:val="949"/>
    <w:next w:val="949"/>
    <w:link w:val="782"/>
    <w:uiPriority w:val="9"/>
    <w:unhideWhenUsed/>
    <w:qFormat/>
    <w:pPr>
      <w:keepLines/>
      <w:keepNext/>
      <w:spacing w:before="320" w:after="200"/>
      <w:outlineLvl w:val="2"/>
    </w:pPr>
    <w:rPr>
      <w:rFonts w:ascii="Arial" w:hAnsi="Arial" w:eastAsia="Arial" w:cs="Arial"/>
      <w:sz w:val="30"/>
      <w:szCs w:val="30"/>
    </w:rPr>
  </w:style>
  <w:style w:type="character" w:styleId="782">
    <w:name w:val="Heading 3 Char"/>
    <w:basedOn w:val="951"/>
    <w:link w:val="781"/>
    <w:uiPriority w:val="9"/>
    <w:rPr>
      <w:rFonts w:ascii="Arial" w:hAnsi="Arial" w:eastAsia="Arial" w:cs="Arial"/>
      <w:sz w:val="30"/>
      <w:szCs w:val="30"/>
    </w:rPr>
  </w:style>
  <w:style w:type="paragraph" w:styleId="783">
    <w:name w:val="Heading 4"/>
    <w:basedOn w:val="949"/>
    <w:next w:val="949"/>
    <w:link w:val="784"/>
    <w:uiPriority w:val="9"/>
    <w:unhideWhenUsed/>
    <w:qFormat/>
    <w:pPr>
      <w:keepLines/>
      <w:keepNext/>
      <w:spacing w:before="320" w:after="200"/>
      <w:outlineLvl w:val="3"/>
    </w:pPr>
    <w:rPr>
      <w:rFonts w:ascii="Arial" w:hAnsi="Arial" w:eastAsia="Arial" w:cs="Arial"/>
      <w:b/>
      <w:bCs/>
      <w:sz w:val="26"/>
      <w:szCs w:val="26"/>
    </w:rPr>
  </w:style>
  <w:style w:type="character" w:styleId="784">
    <w:name w:val="Heading 4 Char"/>
    <w:basedOn w:val="951"/>
    <w:link w:val="783"/>
    <w:uiPriority w:val="9"/>
    <w:rPr>
      <w:rFonts w:ascii="Arial" w:hAnsi="Arial" w:eastAsia="Arial" w:cs="Arial"/>
      <w:b/>
      <w:bCs/>
      <w:sz w:val="26"/>
      <w:szCs w:val="26"/>
    </w:rPr>
  </w:style>
  <w:style w:type="paragraph" w:styleId="785">
    <w:name w:val="Heading 5"/>
    <w:basedOn w:val="949"/>
    <w:next w:val="949"/>
    <w:link w:val="786"/>
    <w:uiPriority w:val="9"/>
    <w:unhideWhenUsed/>
    <w:qFormat/>
    <w:pPr>
      <w:keepLines/>
      <w:keepNext/>
      <w:spacing w:before="320" w:after="200"/>
      <w:outlineLvl w:val="4"/>
    </w:pPr>
    <w:rPr>
      <w:rFonts w:ascii="Arial" w:hAnsi="Arial" w:eastAsia="Arial" w:cs="Arial"/>
      <w:b/>
      <w:bCs/>
      <w:sz w:val="24"/>
      <w:szCs w:val="24"/>
    </w:rPr>
  </w:style>
  <w:style w:type="character" w:styleId="786">
    <w:name w:val="Heading 5 Char"/>
    <w:basedOn w:val="951"/>
    <w:link w:val="785"/>
    <w:uiPriority w:val="9"/>
    <w:rPr>
      <w:rFonts w:ascii="Arial" w:hAnsi="Arial" w:eastAsia="Arial" w:cs="Arial"/>
      <w:b/>
      <w:bCs/>
      <w:sz w:val="24"/>
      <w:szCs w:val="24"/>
    </w:rPr>
  </w:style>
  <w:style w:type="paragraph" w:styleId="787">
    <w:name w:val="Heading 6"/>
    <w:basedOn w:val="949"/>
    <w:next w:val="949"/>
    <w:link w:val="788"/>
    <w:uiPriority w:val="9"/>
    <w:unhideWhenUsed/>
    <w:qFormat/>
    <w:pPr>
      <w:keepLines/>
      <w:keepNext/>
      <w:spacing w:before="320" w:after="200"/>
      <w:outlineLvl w:val="5"/>
    </w:pPr>
    <w:rPr>
      <w:rFonts w:ascii="Arial" w:hAnsi="Arial" w:eastAsia="Arial" w:cs="Arial"/>
      <w:b/>
      <w:bCs/>
      <w:sz w:val="22"/>
      <w:szCs w:val="22"/>
    </w:rPr>
  </w:style>
  <w:style w:type="character" w:styleId="788">
    <w:name w:val="Heading 6 Char"/>
    <w:basedOn w:val="951"/>
    <w:link w:val="787"/>
    <w:uiPriority w:val="9"/>
    <w:rPr>
      <w:rFonts w:ascii="Arial" w:hAnsi="Arial" w:eastAsia="Arial" w:cs="Arial"/>
      <w:b/>
      <w:bCs/>
      <w:sz w:val="22"/>
      <w:szCs w:val="22"/>
    </w:rPr>
  </w:style>
  <w:style w:type="paragraph" w:styleId="789">
    <w:name w:val="Heading 7"/>
    <w:basedOn w:val="949"/>
    <w:next w:val="949"/>
    <w:link w:val="790"/>
    <w:uiPriority w:val="9"/>
    <w:unhideWhenUsed/>
    <w:qFormat/>
    <w:pPr>
      <w:keepLines/>
      <w:keepNext/>
      <w:spacing w:before="320" w:after="200"/>
      <w:outlineLvl w:val="6"/>
    </w:pPr>
    <w:rPr>
      <w:rFonts w:ascii="Arial" w:hAnsi="Arial" w:eastAsia="Arial" w:cs="Arial"/>
      <w:b/>
      <w:bCs/>
      <w:i/>
      <w:iCs/>
      <w:sz w:val="22"/>
      <w:szCs w:val="22"/>
    </w:rPr>
  </w:style>
  <w:style w:type="character" w:styleId="790">
    <w:name w:val="Heading 7 Char"/>
    <w:basedOn w:val="951"/>
    <w:link w:val="789"/>
    <w:uiPriority w:val="9"/>
    <w:rPr>
      <w:rFonts w:ascii="Arial" w:hAnsi="Arial" w:eastAsia="Arial" w:cs="Arial"/>
      <w:b/>
      <w:bCs/>
      <w:i/>
      <w:iCs/>
      <w:sz w:val="22"/>
      <w:szCs w:val="22"/>
    </w:rPr>
  </w:style>
  <w:style w:type="paragraph" w:styleId="791">
    <w:name w:val="Heading 8"/>
    <w:basedOn w:val="949"/>
    <w:next w:val="949"/>
    <w:link w:val="792"/>
    <w:uiPriority w:val="9"/>
    <w:unhideWhenUsed/>
    <w:qFormat/>
    <w:pPr>
      <w:keepLines/>
      <w:keepNext/>
      <w:spacing w:before="320" w:after="200"/>
      <w:outlineLvl w:val="7"/>
    </w:pPr>
    <w:rPr>
      <w:rFonts w:ascii="Arial" w:hAnsi="Arial" w:eastAsia="Arial" w:cs="Arial"/>
      <w:i/>
      <w:iCs/>
      <w:sz w:val="22"/>
      <w:szCs w:val="22"/>
    </w:rPr>
  </w:style>
  <w:style w:type="character" w:styleId="792">
    <w:name w:val="Heading 8 Char"/>
    <w:basedOn w:val="951"/>
    <w:link w:val="791"/>
    <w:uiPriority w:val="9"/>
    <w:rPr>
      <w:rFonts w:ascii="Arial" w:hAnsi="Arial" w:eastAsia="Arial" w:cs="Arial"/>
      <w:i/>
      <w:iCs/>
      <w:sz w:val="22"/>
      <w:szCs w:val="22"/>
    </w:rPr>
  </w:style>
  <w:style w:type="paragraph" w:styleId="793">
    <w:name w:val="Heading 9"/>
    <w:basedOn w:val="949"/>
    <w:next w:val="949"/>
    <w:link w:val="794"/>
    <w:uiPriority w:val="9"/>
    <w:unhideWhenUsed/>
    <w:qFormat/>
    <w:pPr>
      <w:keepLines/>
      <w:keepNext/>
      <w:spacing w:before="320" w:after="200"/>
      <w:outlineLvl w:val="8"/>
    </w:pPr>
    <w:rPr>
      <w:rFonts w:ascii="Arial" w:hAnsi="Arial" w:eastAsia="Arial" w:cs="Arial"/>
      <w:i/>
      <w:iCs/>
      <w:sz w:val="21"/>
      <w:szCs w:val="21"/>
    </w:rPr>
  </w:style>
  <w:style w:type="character" w:styleId="794">
    <w:name w:val="Heading 9 Char"/>
    <w:basedOn w:val="951"/>
    <w:link w:val="793"/>
    <w:uiPriority w:val="9"/>
    <w:rPr>
      <w:rFonts w:ascii="Arial" w:hAnsi="Arial" w:eastAsia="Arial" w:cs="Arial"/>
      <w:i/>
      <w:iCs/>
      <w:sz w:val="21"/>
      <w:szCs w:val="21"/>
    </w:rPr>
  </w:style>
  <w:style w:type="paragraph" w:styleId="795">
    <w:name w:val="List Paragraph"/>
    <w:basedOn w:val="949"/>
    <w:uiPriority w:val="34"/>
    <w:qFormat/>
    <w:pPr>
      <w:contextualSpacing/>
      <w:ind w:left="720"/>
    </w:pPr>
  </w:style>
  <w:style w:type="paragraph" w:styleId="796">
    <w:name w:val="No Spacing"/>
    <w:uiPriority w:val="1"/>
    <w:qFormat/>
    <w:pPr>
      <w:spacing w:before="0" w:after="0" w:line="240" w:lineRule="auto"/>
    </w:pPr>
  </w:style>
  <w:style w:type="paragraph" w:styleId="797">
    <w:name w:val="Title"/>
    <w:basedOn w:val="949"/>
    <w:next w:val="949"/>
    <w:link w:val="798"/>
    <w:uiPriority w:val="10"/>
    <w:qFormat/>
    <w:pPr>
      <w:contextualSpacing/>
      <w:spacing w:before="300" w:after="200"/>
    </w:pPr>
    <w:rPr>
      <w:sz w:val="48"/>
      <w:szCs w:val="48"/>
    </w:rPr>
  </w:style>
  <w:style w:type="character" w:styleId="798">
    <w:name w:val="Title Char"/>
    <w:basedOn w:val="951"/>
    <w:link w:val="797"/>
    <w:uiPriority w:val="10"/>
    <w:rPr>
      <w:sz w:val="48"/>
      <w:szCs w:val="48"/>
    </w:rPr>
  </w:style>
  <w:style w:type="paragraph" w:styleId="799">
    <w:name w:val="Subtitle"/>
    <w:basedOn w:val="949"/>
    <w:next w:val="949"/>
    <w:link w:val="800"/>
    <w:uiPriority w:val="11"/>
    <w:qFormat/>
    <w:pPr>
      <w:spacing w:before="200" w:after="200"/>
    </w:pPr>
    <w:rPr>
      <w:sz w:val="24"/>
      <w:szCs w:val="24"/>
    </w:rPr>
  </w:style>
  <w:style w:type="character" w:styleId="800">
    <w:name w:val="Subtitle Char"/>
    <w:basedOn w:val="951"/>
    <w:link w:val="799"/>
    <w:uiPriority w:val="11"/>
    <w:rPr>
      <w:sz w:val="24"/>
      <w:szCs w:val="24"/>
    </w:rPr>
  </w:style>
  <w:style w:type="paragraph" w:styleId="801">
    <w:name w:val="Quote"/>
    <w:basedOn w:val="949"/>
    <w:next w:val="949"/>
    <w:link w:val="802"/>
    <w:uiPriority w:val="29"/>
    <w:qFormat/>
    <w:pPr>
      <w:ind w:left="720" w:right="720"/>
    </w:pPr>
    <w:rPr>
      <w:i/>
    </w:rPr>
  </w:style>
  <w:style w:type="character" w:styleId="802">
    <w:name w:val="Quote Char"/>
    <w:link w:val="801"/>
    <w:uiPriority w:val="29"/>
    <w:rPr>
      <w:i/>
    </w:rPr>
  </w:style>
  <w:style w:type="paragraph" w:styleId="803">
    <w:name w:val="Intense Quote"/>
    <w:basedOn w:val="949"/>
    <w:next w:val="949"/>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name w:val="Intense Quote Char"/>
    <w:link w:val="803"/>
    <w:uiPriority w:val="30"/>
    <w:rPr>
      <w:i/>
    </w:rPr>
  </w:style>
  <w:style w:type="character" w:styleId="805">
    <w:name w:val="Header Char"/>
    <w:basedOn w:val="951"/>
    <w:link w:val="962"/>
    <w:uiPriority w:val="99"/>
  </w:style>
  <w:style w:type="character" w:styleId="806">
    <w:name w:val="Footer Char"/>
    <w:basedOn w:val="951"/>
    <w:link w:val="961"/>
    <w:uiPriority w:val="99"/>
  </w:style>
  <w:style w:type="paragraph" w:styleId="807">
    <w:name w:val="Caption"/>
    <w:basedOn w:val="949"/>
    <w:next w:val="949"/>
    <w:uiPriority w:val="35"/>
    <w:semiHidden/>
    <w:unhideWhenUsed/>
    <w:qFormat/>
    <w:pPr>
      <w:spacing w:line="276" w:lineRule="auto"/>
    </w:pPr>
    <w:rPr>
      <w:b/>
      <w:bCs/>
      <w:color w:val="4f81bd" w:themeColor="accent1"/>
      <w:sz w:val="18"/>
      <w:szCs w:val="18"/>
    </w:rPr>
  </w:style>
  <w:style w:type="character" w:styleId="808">
    <w:name w:val="Caption Char"/>
    <w:basedOn w:val="807"/>
    <w:link w:val="961"/>
    <w:uiPriority w:val="99"/>
  </w:style>
  <w:style w:type="table" w:styleId="809">
    <w:name w:val="Table Grid Light"/>
    <w:basedOn w:val="9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0">
    <w:name w:val="Plain Table 1"/>
    <w:basedOn w:val="9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basedOn w:val="9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basedOn w:val="9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basedOn w:val="9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basedOn w:val="9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basedOn w:val="9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1 Light - Accent 1"/>
    <w:basedOn w:val="9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7">
    <w:name w:val="Grid Table 1 Light - Accent 2"/>
    <w:basedOn w:val="9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8">
    <w:name w:val="Grid Table 1 Light - Accent 3"/>
    <w:basedOn w:val="9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9">
    <w:name w:val="Grid Table 1 Light - Accent 4"/>
    <w:basedOn w:val="9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0">
    <w:name w:val="Grid Table 1 Light - Accent 5"/>
    <w:basedOn w:val="9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1">
    <w:name w:val="Grid Table 1 Light - Accent 6"/>
    <w:basedOn w:val="9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2">
    <w:name w:val="Grid Table 2"/>
    <w:basedOn w:val="9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2 - Accent 1"/>
    <w:basedOn w:val="9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4">
    <w:name w:val="Grid Table 2 - Accent 2"/>
    <w:basedOn w:val="9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2 - Accent 3"/>
    <w:basedOn w:val="9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2 - Accent 4"/>
    <w:basedOn w:val="9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2 - Accent 5"/>
    <w:basedOn w:val="9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8">
    <w:name w:val="Grid Table 2 - Accent 6"/>
    <w:basedOn w:val="9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9">
    <w:name w:val="Grid Table 3"/>
    <w:basedOn w:val="9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1"/>
    <w:basedOn w:val="9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2"/>
    <w:basedOn w:val="9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3"/>
    <w:basedOn w:val="9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4"/>
    <w:basedOn w:val="9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5"/>
    <w:basedOn w:val="9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6"/>
    <w:basedOn w:val="9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4"/>
    <w:basedOn w:val="9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name w:val="Grid Table 4 - Accent 1"/>
    <w:basedOn w:val="9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8">
    <w:name w:val="Grid Table 4 - Accent 2"/>
    <w:basedOn w:val="9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9">
    <w:name w:val="Grid Table 4 - Accent 3"/>
    <w:basedOn w:val="9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0">
    <w:name w:val="Grid Table 4 - Accent 4"/>
    <w:basedOn w:val="9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1">
    <w:name w:val="Grid Table 4 - Accent 5"/>
    <w:basedOn w:val="9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2">
    <w:name w:val="Grid Table 4 - Accent 6"/>
    <w:basedOn w:val="9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3">
    <w:name w:val="Grid Table 5 Dark"/>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5 Dark- Accent 1"/>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5">
    <w:name w:val="Grid Table 5 Dark - Accent 2"/>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46">
    <w:name w:val="Grid Table 5 Dark - Accent 3"/>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47">
    <w:name w:val="Grid Table 5 Dark- Accent 4"/>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48">
    <w:name w:val="Grid Table 5 Dark - Accent 5"/>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49">
    <w:name w:val="Grid Table 5 Dark - Accent 6"/>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50">
    <w:name w:val="Grid Table 6 Colorful"/>
    <w:basedOn w:val="9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1">
    <w:name w:val="Grid Table 6 Colorful - Accent 1"/>
    <w:basedOn w:val="9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2">
    <w:name w:val="Grid Table 6 Colorful - Accent 2"/>
    <w:basedOn w:val="9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3">
    <w:name w:val="Grid Table 6 Colorful - Accent 3"/>
    <w:basedOn w:val="9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4">
    <w:name w:val="Grid Table 6 Colorful - Accent 4"/>
    <w:basedOn w:val="9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5">
    <w:name w:val="Grid Table 6 Colorful - Accent 5"/>
    <w:basedOn w:val="9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6">
    <w:name w:val="Grid Table 6 Colorful - Accent 6"/>
    <w:basedOn w:val="9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7">
    <w:name w:val="Grid Table 7 Colorful"/>
    <w:basedOn w:val="9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8">
    <w:name w:val="Grid Table 7 Colorful - Accent 1"/>
    <w:basedOn w:val="9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9">
    <w:name w:val="Grid Table 7 Colorful - Accent 2"/>
    <w:basedOn w:val="9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7 Colorful - Accent 3"/>
    <w:basedOn w:val="9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7 Colorful - Accent 4"/>
    <w:basedOn w:val="9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7 Colorful - Accent 5"/>
    <w:basedOn w:val="9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3">
    <w:name w:val="Grid Table 7 Colorful - Accent 6"/>
    <w:basedOn w:val="9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4">
    <w:name w:val="List Table 1 Light"/>
    <w:basedOn w:val="9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name w:val="List Table 1 Light - Accent 1"/>
    <w:basedOn w:val="95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6">
    <w:name w:val="List Table 1 Light - Accent 2"/>
    <w:basedOn w:val="95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7">
    <w:name w:val="List Table 1 Light - Accent 3"/>
    <w:basedOn w:val="95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8">
    <w:name w:val="List Table 1 Light - Accent 4"/>
    <w:basedOn w:val="95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9">
    <w:name w:val="List Table 1 Light - Accent 5"/>
    <w:basedOn w:val="95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0">
    <w:name w:val="List Table 1 Light - Accent 6"/>
    <w:basedOn w:val="95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1">
    <w:name w:val="List Table 2"/>
    <w:basedOn w:val="9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2">
    <w:name w:val="List Table 2 - Accent 1"/>
    <w:basedOn w:val="9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3">
    <w:name w:val="List Table 2 - Accent 2"/>
    <w:basedOn w:val="9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4">
    <w:name w:val="List Table 2 - Accent 3"/>
    <w:basedOn w:val="9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5">
    <w:name w:val="List Table 2 - Accent 4"/>
    <w:basedOn w:val="9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6">
    <w:name w:val="List Table 2 - Accent 5"/>
    <w:basedOn w:val="9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7">
    <w:name w:val="List Table 2 - Accent 6"/>
    <w:basedOn w:val="9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8">
    <w:name w:val="List Table 3"/>
    <w:basedOn w:val="9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3 - Accent 1"/>
    <w:basedOn w:val="9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0">
    <w:name w:val="List Table 3 - Accent 2"/>
    <w:basedOn w:val="9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1">
    <w:name w:val="List Table 3 - Accent 3"/>
    <w:basedOn w:val="9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2">
    <w:name w:val="List Table 3 - Accent 4"/>
    <w:basedOn w:val="9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3">
    <w:name w:val="List Table 3 - Accent 5"/>
    <w:basedOn w:val="9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4">
    <w:name w:val="List Table 3 - Accent 6"/>
    <w:basedOn w:val="9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5">
    <w:name w:val="List Table 4"/>
    <w:basedOn w:val="9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4 - Accent 1"/>
    <w:basedOn w:val="9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7">
    <w:name w:val="List Table 4 - Accent 2"/>
    <w:basedOn w:val="9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88">
    <w:name w:val="List Table 4 - Accent 3"/>
    <w:basedOn w:val="9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89">
    <w:name w:val="List Table 4 - Accent 4"/>
    <w:basedOn w:val="9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90">
    <w:name w:val="List Table 4 - Accent 5"/>
    <w:basedOn w:val="9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1">
    <w:name w:val="List Table 4 - Accent 6"/>
    <w:basedOn w:val="9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2">
    <w:name w:val="List Table 5 Dark"/>
    <w:basedOn w:val="9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1"/>
    <w:basedOn w:val="9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2"/>
    <w:basedOn w:val="9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3"/>
    <w:basedOn w:val="9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4"/>
    <w:basedOn w:val="9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5"/>
    <w:basedOn w:val="9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6"/>
    <w:basedOn w:val="9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6 Colorful"/>
    <w:basedOn w:val="9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0">
    <w:name w:val="List Table 6 Colorful - Accent 1"/>
    <w:basedOn w:val="9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1">
    <w:name w:val="List Table 6 Colorful - Accent 2"/>
    <w:basedOn w:val="9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2">
    <w:name w:val="List Table 6 Colorful - Accent 3"/>
    <w:basedOn w:val="9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3">
    <w:name w:val="List Table 6 Colorful - Accent 4"/>
    <w:basedOn w:val="9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4">
    <w:name w:val="List Table 6 Colorful - Accent 5"/>
    <w:basedOn w:val="9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5">
    <w:name w:val="List Table 6 Colorful - Accent 6"/>
    <w:basedOn w:val="9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06">
    <w:name w:val="List Table 7 Colorful"/>
    <w:basedOn w:val="9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7">
    <w:name w:val="List Table 7 Colorful - Accent 1"/>
    <w:basedOn w:val="9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08">
    <w:name w:val="List Table 7 Colorful - Accent 2"/>
    <w:basedOn w:val="9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09">
    <w:name w:val="List Table 7 Colorful - Accent 3"/>
    <w:basedOn w:val="9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10">
    <w:name w:val="List Table 7 Colorful - Accent 4"/>
    <w:basedOn w:val="9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1">
    <w:name w:val="List Table 7 Colorful - Accent 5"/>
    <w:basedOn w:val="9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2">
    <w:name w:val="List Table 7 Colorful - Accent 6"/>
    <w:basedOn w:val="9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3">
    <w:name w:val="Lined - Accent"/>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Lined - Accent 1"/>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5">
    <w:name w:val="Lined - Accent 2"/>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6">
    <w:name w:val="Lined - Accent 3"/>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7">
    <w:name w:val="Lined - Accent 4"/>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8">
    <w:name w:val="Lined - Accent 5"/>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9">
    <w:name w:val="Lined - Accent 6"/>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0">
    <w:name w:val="Bordered &amp; Lined - Accent"/>
    <w:basedOn w:val="9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Bordered &amp; Lined - Accent 1"/>
    <w:basedOn w:val="9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2">
    <w:name w:val="Bordered &amp; Lined - Accent 2"/>
    <w:basedOn w:val="9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3">
    <w:name w:val="Bordered &amp; Lined - Accent 3"/>
    <w:basedOn w:val="9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4">
    <w:name w:val="Bordered &amp; Lined - Accent 4"/>
    <w:basedOn w:val="9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5">
    <w:name w:val="Bordered &amp; Lined - Accent 5"/>
    <w:basedOn w:val="9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6">
    <w:name w:val="Bordered &amp; Lined - Accent 6"/>
    <w:basedOn w:val="9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7">
    <w:name w:val="Bordered"/>
    <w:basedOn w:val="9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8">
    <w:name w:val="Bordered - Accent 1"/>
    <w:basedOn w:val="9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9">
    <w:name w:val="Bordered - Accent 2"/>
    <w:basedOn w:val="9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0">
    <w:name w:val="Bordered - Accent 3"/>
    <w:basedOn w:val="9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1">
    <w:name w:val="Bordered - Accent 4"/>
    <w:basedOn w:val="9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2">
    <w:name w:val="Bordered - Accent 5"/>
    <w:basedOn w:val="9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3">
    <w:name w:val="Bordered - Accent 6"/>
    <w:basedOn w:val="9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4">
    <w:name w:val="footnote text"/>
    <w:basedOn w:val="949"/>
    <w:link w:val="935"/>
    <w:uiPriority w:val="99"/>
    <w:semiHidden/>
    <w:unhideWhenUsed/>
    <w:pPr>
      <w:spacing w:after="40" w:line="240" w:lineRule="auto"/>
    </w:pPr>
    <w:rPr>
      <w:sz w:val="18"/>
    </w:rPr>
  </w:style>
  <w:style w:type="character" w:styleId="935">
    <w:name w:val="Footnote Text Char"/>
    <w:link w:val="934"/>
    <w:uiPriority w:val="99"/>
    <w:rPr>
      <w:sz w:val="18"/>
    </w:rPr>
  </w:style>
  <w:style w:type="character" w:styleId="936">
    <w:name w:val="footnote reference"/>
    <w:basedOn w:val="951"/>
    <w:uiPriority w:val="99"/>
    <w:unhideWhenUsed/>
    <w:rPr>
      <w:vertAlign w:val="superscript"/>
    </w:rPr>
  </w:style>
  <w:style w:type="paragraph" w:styleId="937">
    <w:name w:val="endnote text"/>
    <w:basedOn w:val="949"/>
    <w:link w:val="938"/>
    <w:uiPriority w:val="99"/>
    <w:semiHidden/>
    <w:unhideWhenUsed/>
    <w:pPr>
      <w:spacing w:after="0" w:line="240" w:lineRule="auto"/>
    </w:pPr>
    <w:rPr>
      <w:sz w:val="20"/>
    </w:rPr>
  </w:style>
  <w:style w:type="character" w:styleId="938">
    <w:name w:val="Endnote Text Char"/>
    <w:link w:val="937"/>
    <w:uiPriority w:val="99"/>
    <w:rPr>
      <w:sz w:val="20"/>
    </w:rPr>
  </w:style>
  <w:style w:type="character" w:styleId="939">
    <w:name w:val="endnote reference"/>
    <w:basedOn w:val="951"/>
    <w:uiPriority w:val="99"/>
    <w:semiHidden/>
    <w:unhideWhenUsed/>
    <w:rPr>
      <w:vertAlign w:val="superscript"/>
    </w:rPr>
  </w:style>
  <w:style w:type="paragraph" w:styleId="940">
    <w:name w:val="toc 2"/>
    <w:basedOn w:val="949"/>
    <w:next w:val="949"/>
    <w:uiPriority w:val="39"/>
    <w:unhideWhenUsed/>
    <w:pPr>
      <w:ind w:left="283" w:right="0" w:firstLine="0"/>
      <w:spacing w:after="57"/>
    </w:pPr>
  </w:style>
  <w:style w:type="paragraph" w:styleId="941">
    <w:name w:val="toc 3"/>
    <w:basedOn w:val="949"/>
    <w:next w:val="949"/>
    <w:uiPriority w:val="39"/>
    <w:unhideWhenUsed/>
    <w:pPr>
      <w:ind w:left="567" w:right="0" w:firstLine="0"/>
      <w:spacing w:after="57"/>
    </w:pPr>
  </w:style>
  <w:style w:type="paragraph" w:styleId="942">
    <w:name w:val="toc 4"/>
    <w:basedOn w:val="949"/>
    <w:next w:val="949"/>
    <w:uiPriority w:val="39"/>
    <w:unhideWhenUsed/>
    <w:pPr>
      <w:ind w:left="850" w:right="0" w:firstLine="0"/>
      <w:spacing w:after="57"/>
    </w:pPr>
  </w:style>
  <w:style w:type="paragraph" w:styleId="943">
    <w:name w:val="toc 5"/>
    <w:basedOn w:val="949"/>
    <w:next w:val="949"/>
    <w:uiPriority w:val="39"/>
    <w:unhideWhenUsed/>
    <w:pPr>
      <w:ind w:left="1134" w:right="0" w:firstLine="0"/>
      <w:spacing w:after="57"/>
    </w:pPr>
  </w:style>
  <w:style w:type="paragraph" w:styleId="944">
    <w:name w:val="toc 6"/>
    <w:basedOn w:val="949"/>
    <w:next w:val="949"/>
    <w:uiPriority w:val="39"/>
    <w:unhideWhenUsed/>
    <w:pPr>
      <w:ind w:left="1417"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953"/>
    <w:uiPriority w:val="0"/>
    <w:qFormat/>
    <w:pPr>
      <w:jc w:val="both"/>
      <w:widowControl w:val="off"/>
    </w:pPr>
    <w:rPr>
      <w:rFonts w:ascii="Times New Roman" w:hAnsi="Times New Roman" w:eastAsia="楷体_GB2312" w:cs="Times New Roman"/>
      <w:sz w:val="28"/>
      <w:lang w:val="en-US" w:eastAsia="zh-CN" w:bidi="ar-SA"/>
    </w:rPr>
  </w:style>
  <w:style w:type="paragraph" w:styleId="950">
    <w:name w:val="Heading 1"/>
    <w:basedOn w:val="949"/>
    <w:next w:val="949"/>
    <w:uiPriority w:val="9"/>
    <w:qFormat/>
    <w:pPr>
      <w:keepLines/>
      <w:keepNext/>
      <w:spacing w:before="480" w:after="200"/>
      <w:outlineLvl w:val="0"/>
    </w:pPr>
    <w:rPr>
      <w:rFonts w:ascii="Arial" w:hAnsi="Arial" w:eastAsia="Arial" w:cs="Arial"/>
      <w:sz w:val="40"/>
      <w:szCs w:val="40"/>
    </w:rPr>
  </w:style>
  <w:style w:type="character" w:styleId="951" w:default="1">
    <w:name w:val="Default Paragraph Font"/>
    <w:uiPriority w:val="0"/>
    <w:semiHidden/>
    <w:qFormat/>
  </w:style>
  <w:style w:type="table" w:styleId="952" w:default="1">
    <w:name w:val="Normal Table"/>
    <w:uiPriority w:val="0"/>
    <w:semiHidden/>
    <w:qFormat/>
    <w:tblPr>
      <w:tblCellMar>
        <w:left w:w="108" w:type="dxa"/>
        <w:top w:w="0" w:type="dxa"/>
        <w:right w:w="108" w:type="dxa"/>
        <w:bottom w:w="0" w:type="dxa"/>
      </w:tblCellMar>
    </w:tblPr>
  </w:style>
  <w:style w:type="paragraph" w:styleId="953">
    <w:name w:val="Body Text"/>
    <w:basedOn w:val="949"/>
    <w:uiPriority w:val="0"/>
    <w:qFormat/>
    <w:pPr>
      <w:jc w:val="left"/>
      <w:spacing w:line="360" w:lineRule="auto"/>
      <w:widowControl/>
    </w:pPr>
    <w:rPr>
      <w:rFonts w:eastAsia="宋体"/>
      <w:sz w:val="24"/>
    </w:rPr>
  </w:style>
  <w:style w:type="paragraph" w:styleId="954">
    <w:name w:val="toc 7"/>
    <w:basedOn w:val="950"/>
    <w:next w:val="949"/>
    <w:uiPriority w:val="39"/>
    <w:unhideWhenUsed/>
    <w:qFormat/>
    <w:pPr>
      <w:ind w:left="1701" w:right="0" w:firstLine="0"/>
      <w:spacing w:after="57"/>
    </w:pPr>
  </w:style>
  <w:style w:type="paragraph" w:styleId="955">
    <w:name w:val="Normal Indent"/>
    <w:basedOn w:val="949"/>
    <w:uiPriority w:val="0"/>
    <w:qFormat/>
    <w:pPr>
      <w:ind w:firstLine="420"/>
      <w:jc w:val="left"/>
    </w:pPr>
    <w:rPr>
      <w:sz w:val="24"/>
    </w:rPr>
  </w:style>
  <w:style w:type="paragraph" w:styleId="956">
    <w:name w:val="annotation text"/>
    <w:basedOn w:val="949"/>
    <w:uiPriority w:val="99"/>
    <w:qFormat/>
    <w:pPr>
      <w:jc w:val="left"/>
    </w:pPr>
  </w:style>
  <w:style w:type="paragraph" w:styleId="957">
    <w:name w:val="Body Text Indent"/>
    <w:basedOn w:val="949"/>
    <w:next w:val="958"/>
    <w:uiPriority w:val="0"/>
    <w:qFormat/>
    <w:pPr>
      <w:ind w:left="420"/>
      <w:spacing w:after="120"/>
    </w:pPr>
  </w:style>
  <w:style w:type="paragraph" w:styleId="958">
    <w:name w:val="envelope return"/>
    <w:basedOn w:val="949"/>
    <w:uiPriority w:val="0"/>
    <w:qFormat/>
    <w:rPr>
      <w:rFonts w:ascii="Arial" w:hAnsi="Arial"/>
      <w:sz w:val="26"/>
    </w:rPr>
  </w:style>
  <w:style w:type="paragraph" w:styleId="959">
    <w:name w:val="List 2"/>
    <w:basedOn w:val="950"/>
    <w:next w:val="954"/>
    <w:uiPriority w:val="0"/>
    <w:qFormat/>
    <w:pPr>
      <w:ind w:left="100" w:firstLine="3640"/>
      <w:spacing w:before="0" w:after="0" w:line="240" w:lineRule="auto"/>
    </w:pPr>
    <w:rPr>
      <w:rFonts w:ascii="Times New Roman" w:hAnsi="Times New Roman" w:cs="Times New Roman"/>
    </w:rPr>
  </w:style>
  <w:style w:type="paragraph" w:styleId="960">
    <w:name w:val="Plain Text"/>
    <w:basedOn w:val="949"/>
    <w:uiPriority w:val="0"/>
    <w:qFormat/>
    <w:rPr>
      <w:rFonts w:ascii="宋体" w:hAnsi="Courier New"/>
    </w:rPr>
  </w:style>
  <w:style w:type="paragraph" w:styleId="961">
    <w:name w:val="Footer"/>
    <w:basedOn w:val="949"/>
    <w:uiPriority w:val="99"/>
    <w:qFormat/>
    <w:pPr>
      <w:jc w:val="left"/>
      <w:tabs>
        <w:tab w:val="center" w:pos="4153" w:leader="none"/>
        <w:tab w:val="right" w:pos="8306" w:leader="none"/>
      </w:tabs>
    </w:pPr>
    <w:rPr>
      <w:sz w:val="18"/>
      <w:szCs w:val="18"/>
    </w:rPr>
  </w:style>
  <w:style w:type="paragraph" w:styleId="962">
    <w:name w:val="Header"/>
    <w:basedOn w:val="949"/>
    <w:uiPriority w:val="99"/>
    <w:qFormat/>
    <w:pPr>
      <w:jc w:val="center"/>
      <w:tabs>
        <w:tab w:val="center" w:pos="4153" w:leader="none"/>
        <w:tab w:val="right" w:pos="8306" w:leader="none"/>
      </w:tabs>
      <w:pBdr>
        <w:bottom w:val="single" w:color="auto" w:sz="6" w:space="1"/>
      </w:pBdr>
    </w:pPr>
    <w:rPr>
      <w:sz w:val="18"/>
      <w:szCs w:val="18"/>
    </w:rPr>
  </w:style>
  <w:style w:type="paragraph" w:styleId="963">
    <w:name w:val="toc 1"/>
    <w:next w:val="949"/>
    <w:uiPriority w:val="39"/>
    <w:qFormat/>
    <w:pPr>
      <w:jc w:val="both"/>
      <w:spacing w:line="360" w:lineRule="auto"/>
      <w:widowControl w:val="off"/>
      <w:tabs>
        <w:tab w:val="right" w:pos="9006" w:leader="dot"/>
      </w:tabs>
    </w:pPr>
    <w:rPr>
      <w:rFonts w:ascii="宋体" w:hAnsi="宋体" w:eastAsia="宋体" w:cs="Times New Roman"/>
      <w:color w:val="000000"/>
      <w:sz w:val="24"/>
      <w:szCs w:val="24"/>
      <w:lang w:val="en-US" w:eastAsia="zh-CN" w:bidi="ar-SA"/>
    </w:rPr>
  </w:style>
  <w:style w:type="paragraph" w:styleId="964">
    <w:name w:val="Body Text Indent 3"/>
    <w:basedOn w:val="949"/>
    <w:uiPriority w:val="99"/>
    <w:qFormat/>
    <w:pPr>
      <w:ind w:left="420"/>
      <w:spacing w:after="120"/>
    </w:pPr>
    <w:rPr>
      <w:sz w:val="16"/>
      <w:szCs w:val="16"/>
    </w:rPr>
  </w:style>
  <w:style w:type="paragraph" w:styleId="965">
    <w:name w:val="Normal (Web)"/>
    <w:basedOn w:val="949"/>
    <w:next w:val="959"/>
    <w:uiPriority w:val="0"/>
    <w:qFormat/>
    <w:pPr>
      <w:jc w:val="left"/>
      <w:spacing w:before="100" w:beforeAutospacing="1" w:after="100" w:afterAutospacing="1"/>
    </w:pPr>
    <w:rPr>
      <w:rFonts w:ascii="Calibri" w:hAnsi="Calibri"/>
      <w:sz w:val="24"/>
      <w:szCs w:val="22"/>
    </w:rPr>
  </w:style>
  <w:style w:type="table" w:styleId="966">
    <w:name w:val="Table Grid"/>
    <w:basedOn w:val="95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7">
    <w:name w:val="Strong"/>
    <w:basedOn w:val="951"/>
    <w:uiPriority w:val="0"/>
    <w:qFormat/>
    <w:rPr>
      <w:b/>
    </w:rPr>
  </w:style>
  <w:style w:type="character" w:styleId="968">
    <w:name w:val="page number"/>
    <w:basedOn w:val="951"/>
    <w:uiPriority w:val="0"/>
    <w:qFormat/>
  </w:style>
  <w:style w:type="character" w:styleId="969">
    <w:name w:val="Hyperlink"/>
    <w:uiPriority w:val="99"/>
    <w:qFormat/>
    <w:rPr>
      <w:color w:val="0000ff"/>
      <w:u w:val="single"/>
    </w:rPr>
  </w:style>
  <w:style w:type="character" w:styleId="970">
    <w:name w:val="annotation reference"/>
    <w:basedOn w:val="951"/>
    <w:uiPriority w:val="0"/>
    <w:qFormat/>
    <w:rPr>
      <w:sz w:val="21"/>
      <w:szCs w:val="21"/>
    </w:rPr>
  </w:style>
  <w:style w:type="paragraph" w:styleId="971" w:customStyle="1">
    <w:name w:val="正文文本缩进11"/>
    <w:basedOn w:val="949"/>
    <w:next w:val="972"/>
    <w:uiPriority w:val="0"/>
    <w:qFormat/>
    <w:pPr>
      <w:ind w:left="570"/>
      <w:spacing w:line="520" w:lineRule="exact"/>
    </w:pPr>
    <w:rPr>
      <w:rFonts w:ascii="方正仿宋简体" w:hAnsi="创艺简仿宋" w:eastAsia="方正仿宋简体"/>
      <w:sz w:val="24"/>
      <w:szCs w:val="20"/>
    </w:rPr>
  </w:style>
  <w:style w:type="paragraph" w:styleId="972" w:customStyle="1">
    <w:name w:val="寄信人地址1"/>
    <w:basedOn w:val="949"/>
    <w:uiPriority w:val="0"/>
    <w:qFormat/>
    <w:rPr>
      <w:rFonts w:ascii="Arial" w:hAnsi="Arial" w:eastAsia="楷体_GB2312"/>
      <w:sz w:val="26"/>
    </w:rPr>
  </w:style>
  <w:style w:type="paragraph" w:styleId="973" w:customStyle="1">
    <w:name w:val="正文1"/>
    <w:next w:val="949"/>
    <w:uiPriority w:val="0"/>
    <w:qFormat/>
    <w:pPr>
      <w:jc w:val="both"/>
      <w:spacing w:line="312" w:lineRule="atLeast"/>
      <w:widowControl w:val="off"/>
    </w:pPr>
    <w:rPr>
      <w:rFonts w:hint="default" w:ascii="宋体" w:hAnsi="Times New Roman" w:eastAsia="宋体" w:cs="Times New Roman"/>
      <w:sz w:val="34"/>
      <w:szCs w:val="22"/>
      <w:lang w:val="en-US" w:eastAsia="zh-CN" w:bidi="ar-SA"/>
    </w:rPr>
  </w:style>
  <w:style w:type="paragraph" w:styleId="974" w:customStyle="1">
    <w:name w:val="首行缩进"/>
    <w:basedOn w:val="949"/>
    <w:uiPriority w:val="99"/>
    <w:qFormat/>
    <w:pPr>
      <w:ind w:firstLine="480"/>
    </w:pPr>
    <w:rPr>
      <w:rFonts w:ascii="宋体" w:hAnsi="宋体"/>
      <w:szCs w:val="24"/>
      <w:lang w:val="zh-CN"/>
    </w:rPr>
  </w:style>
  <w:style w:type="paragraph" w:styleId="975" w:customStyle="1">
    <w:name w:val="纯文本1"/>
    <w:basedOn w:val="949"/>
    <w:uiPriority w:val="0"/>
    <w:qFormat/>
    <w:rPr>
      <w:rFonts w:ascii="宋体" w:hAnsi="Courier New"/>
    </w:rPr>
  </w:style>
  <w:style w:type="paragraph" w:styleId="976" w:customStyle="1">
    <w:name w:val="Plain Text1"/>
    <w:basedOn w:val="949"/>
    <w:uiPriority w:val="0"/>
    <w:qFormat/>
    <w:rPr>
      <w:rFonts w:hint="eastAsia" w:ascii="宋体" w:hAnsi="Courier New"/>
    </w:rPr>
  </w:style>
  <w:style w:type="paragraph" w:styleId="977" w:customStyle="1">
    <w:name w:val="纯文本112"/>
    <w:basedOn w:val="949"/>
    <w:uiPriority w:val="0"/>
    <w:qFormat/>
    <w:rPr>
      <w:rFonts w:ascii="宋体" w:hAnsi="Courier New"/>
      <w:sz w:val="26"/>
    </w:rPr>
  </w:style>
  <w:style w:type="paragraph" w:styleId="978" w:customStyle="1">
    <w:name w:val="Plain Text2"/>
    <w:basedOn w:val="949"/>
    <w:uiPriority w:val="99"/>
    <w:qFormat/>
    <w:rPr>
      <w:rFonts w:ascii="宋体" w:hAnsi="Courier New"/>
      <w:sz w:val="26"/>
      <w:szCs w:val="24"/>
    </w:rPr>
  </w:style>
  <w:style w:type="paragraph" w:styleId="979" w:customStyle="1">
    <w:name w:val="Andy_正文"/>
    <w:basedOn w:val="949"/>
    <w:uiPriority w:val="0"/>
    <w:qFormat/>
    <w:pPr>
      <w:ind w:firstLine="480"/>
      <w:spacing w:line="360" w:lineRule="auto"/>
    </w:pPr>
    <w:rPr>
      <w:rFonts w:ascii="Calibri" w:hAnsi="Calibri" w:eastAsia="宋体"/>
      <w:sz w:val="24"/>
      <w:szCs w:val="24"/>
    </w:rPr>
  </w:style>
  <w:style w:type="paragraph" w:styleId="980" w:customStyle="1">
    <w:name w:val="Normal_0_2"/>
    <w:uiPriority w:val="0"/>
    <w:qFormat/>
    <w:rPr>
      <w:rFonts w:ascii="Calibri" w:hAnsi="Calibri" w:eastAsia="Times New Roman" w:cs="Times New Roman"/>
      <w:sz w:val="24"/>
      <w:szCs w:val="24"/>
      <w:lang w:val="en-US" w:eastAsia="zh-CN" w:bidi="ar-SA"/>
    </w:rPr>
  </w:style>
  <w:style w:type="paragraph" w:styleId="981" w:customStyle="1">
    <w:name w:val="普通正文"/>
    <w:basedOn w:val="949"/>
    <w:uiPriority w:val="0"/>
    <w:qFormat/>
    <w:pPr>
      <w:ind w:firstLine="480"/>
      <w:jc w:val="left"/>
      <w:spacing w:before="120" w:after="120" w:line="360" w:lineRule="auto"/>
    </w:pPr>
    <w:rPr>
      <w:rFonts w:ascii="Arial" w:hAnsi="Arial"/>
      <w:sz w:val="24"/>
    </w:rPr>
  </w:style>
  <w:style w:type="paragraph" w:styleId="982" w:customStyle="1">
    <w:name w:val="Normal_19"/>
    <w:uiPriority w:val="0"/>
    <w:qFormat/>
    <w:rPr>
      <w:rFonts w:ascii="Calibri" w:hAnsi="Calibri" w:eastAsia="Times New Roman" w:cs="Times New Roman"/>
      <w:sz w:val="24"/>
      <w:szCs w:val="24"/>
      <w:lang w:val="en-US" w:eastAsia="zh-CN" w:bidi="ar-SA"/>
    </w:rPr>
  </w:style>
  <w:style w:type="numbering" w:styleId="9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2fce9a70-1425-4086-a35e-1e9d6f3e5bac</errorID>
      <errorWord>100万以下</errorWord>
      <group>L1_Word</group>
      <groupName>字词问题</groupName>
      <ability>L2_Typo</ability>
      <abilityName>字词错误</abilityName>
      <candidateList>
        <item>100万元以下</item>
      </candidateList>
      <explain/>
      <paraID>11E32268</paraID>
      <start>29</start>
      <end>35</end>
      <status>unmodified</status>
      <modifiedWord/>
      <trackRevisions>false</trackRevisions>
    </reviewItem>
    <reviewItem>
      <errorID>719276d2-cc54-4d7a-bcfe-7a9d26c6647a</errorID>
      <errorWord>。</errorWord>
      <group>L1_Grammar</group>
      <groupName>语法问题</groupName>
      <ability>L2_Missing</ability>
      <abilityName>成分残缺</abilityName>
      <candidateList>
        <item>手续。</item>
      </candidateList>
      <explain>句子中可能存在主谓宾、修饰语或者必要的词语残缺。</explain>
      <paraID>32EDCEE7</paraID>
      <start>50</start>
      <end>51</end>
      <status>unmodified</status>
      <modifiedWord/>
      <trackRevisions>false</trackRevisions>
    </reviewItem>
    <reviewItem>
      <errorID>61e7f604-5fbb-4c84-b3b2-2a8932050ab3</errorID>
      <errorWord>“.</errorWord>
      <group>L1_Punc</group>
      <groupName>标点问题</groupName>
      <ability>L2_Punc</ability>
      <abilityName>标点符号检查</abilityName>
      <candidateList>
        <item>“</item>
      </candidateList>
      <explain/>
      <paraID>1B44AAC8</paraID>
      <start>46</start>
      <end>48</end>
      <status>unmodified</status>
      <modifiedWord/>
      <trackRevisions>false</trackRevisions>
    </reviewItem>
    <reviewItem>
      <errorID>6628c376-2c82-438c-b1f2-a298ab5ee07f</errorID>
      <errorWord>前</errorWord>
      <group>L1_Word</group>
      <groupName>字词问题</groupName>
      <ability>L2_Typo</ability>
      <abilityName>字词错误</abilityName>
      <candidateList>
        <item>前述</item>
      </candidateList>
      <explain/>
      <paraID>4CFFE5F2</paraID>
      <start>31</start>
      <end>33</end>
      <status>modified</status>
      <modifiedWord>前述</modifiedWord>
      <trackRevisions>false</trackRevisions>
    </reviewItem>
    <reviewItem>
      <errorID>3f4faa85-a0db-4e71-9328-ae05d735b1b0</errorID>
      <errorWord>（2017）11号</errorWord>
      <group>L1_Knowledge</group>
      <groupName>知识性问题</groupName>
      <ability>L2_Knowledge</ability>
      <abilityName>其他知识</abilityName>
      <candidateList>
        <item>〔2017〕11号</item>
      </candidateList>
      <explain>发文字号格式错误。</explain>
      <paraID>78159DCC</paraID>
      <start>64</start>
      <end>73</end>
      <status>unmodified</status>
      <modifiedWord/>
      <trackRevisions>false</trackRevisions>
    </reviewItem>
    <reviewItem>
      <errorID>09de155c-d016-4a39-8590-c99ccf18849e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4AF8C1F7</paraID>
      <start>128</start>
      <end>129</end>
      <status>unmodified</status>
      <modifiedWord/>
      <trackRevisions>false</trackRevisions>
    </reviewItem>
    <reviewItem>
      <errorID>1e062065-392c-4fe7-a0eb-b47f25cae9d4</errorID>
      <errorWord>》</errorWord>
      <group>L1_Word</group>
      <groupName>字词问题</groupName>
      <ability>L2_Typo</ability>
      <abilityName>字词错误</abilityName>
      <candidateList>
        <item>》和</item>
      </candidateList>
      <explain/>
      <paraID>7B3174BA</paraID>
      <start>121</start>
      <end>122</end>
      <status>unmodified</status>
      <modifiedWord/>
      <trackRevisions>false</trackRevisions>
    </reviewItem>
    <reviewItem>
      <errorID>a4a029fc-5f07-484c-8a23-e3a2d195bbac</errorID>
      <errorWord>:</errorWord>
      <group>L1_Format</group>
      <groupName>格式问题</groupName>
      <ability>L2_HalfPunc</ability>
      <abilityName>全半角检查</abilityName>
      <candidateList>
        <item>：</item>
      </candidateList>
      <explain>文本全半角错误。</explain>
      <paraID>23861165</paraID>
      <start>3</start>
      <end>4</end>
      <status>unmodified</status>
      <modifiedWord/>
      <trackRevisions>false</trackRevisions>
    </reviewItem>
    <reviewItem>
      <errorID>30d23edd-96fe-448b-b15d-50c080f8b55e</errorID>
      <errorWord>(</errorWord>
      <group>L1_Format</group>
      <groupName>格式问题</groupName>
      <ability>L2_HalfPunc</ability>
      <abilityName>全半角检查</abilityName>
      <candidateList>
        <item>（</item>
      </candidateList>
      <explain>文本全半角错误。</explain>
      <paraID>5749B30F</paraID>
      <start>33</start>
      <end>34</end>
      <status>unmodified</status>
      <modifiedWord/>
      <trackRevisions>false</trackRevisions>
    </reviewItem>
    <reviewItem>
      <errorID>298568d5-3da2-47ae-baa8-1bc3047793fc</errorID>
      <errorWord>)</errorWord>
      <group>L1_Format</group>
      <groupName>格式问题</groupName>
      <ability>L2_HalfPunc</ability>
      <abilityName>全半角检查</abilityName>
      <candidateList>
        <item>）</item>
      </candidateList>
      <explain>文本全半角错误。</explain>
      <paraID>5749B30F</paraID>
      <start>45</start>
      <end>46</end>
      <status>unmodified</status>
      <modifiedWord/>
      <trackRevisions>false</trackRevisions>
    </reviewItem>
    <reviewItem>
      <errorID>9f8a4a8c-ea30-416d-a456-8b088d193a38</errorID>
      <errorWord>(</errorWord>
      <group>L1_Format</group>
      <groupName>格式问题</groupName>
      <ability>L2_HalfPunc</ability>
      <abilityName>全半角检查</abilityName>
      <candidateList>
        <item>（</item>
      </candidateList>
      <explain>文本全半角错误。</explain>
      <paraID>4B41F5B1</paraID>
      <start>55</start>
      <end>56</end>
      <status>unmodified</status>
      <modifiedWord/>
      <trackRevisions>false</trackRevisions>
    </reviewItem>
    <reviewItem>
      <errorID>8f562a04-981d-4d42-a93b-bbefb9a1a32d</errorID>
      <errorWord>)</errorWord>
      <group>L1_Word</group>
      <groupName>字词问题</groupName>
      <ability>L2_Typo</ability>
      <abilityName>字词错误</abilityName>
      <candidateList>
        <item>)和</item>
      </candidateList>
      <explain/>
      <paraID>4B41F5B1</paraID>
      <start>72</start>
      <end>73</end>
      <status>unmodified</status>
      <modifiedWord/>
      <trackRevisions>false</trackRevisions>
    </reviewItem>
    <reviewItem>
      <errorID>4b930bcd-b696-478d-8fbf-c48c8edef84d</errorID>
      <errorWord>:</errorWord>
      <group>L1_Format</group>
      <groupName>格式问题</groupName>
      <ability>L2_HalfPunc</ability>
      <abilityName>全半角检查</abilityName>
      <candidateList>
        <item>：</item>
      </candidateList>
      <explain>文本全半角错误。</explain>
      <paraID> DEA1EF8</paraID>
      <start>2</start>
      <end>3</end>
      <status>unmodified</status>
      <modifiedWord/>
      <trackRevisions>false</trackRevisions>
    </reviewItem>
    <reviewItem>
      <errorID>d456d48e-0f30-4bb0-8560-eac739c1da42</errorID>
      <errorWord>:</errorWord>
      <group>L1_Format</group>
      <groupName>格式问题</groupName>
      <ability>L2_HalfPunc</ability>
      <abilityName>全半角检查</abilityName>
      <candidateList>
        <item>：</item>
      </candidateList>
      <explain>文本全半角错误。</explain>
      <paraID>60FDC2C5</paraID>
      <start>2</start>
      <end>3</end>
      <status>unmodified</status>
      <modifiedWord/>
      <trackRevisions>false</trackRevisions>
    </reviewItem>
    <reviewItem>
      <errorID>53fdaa97-03a9-48b8-88b0-a03af2f9a42d</errorID>
      <errorWord>)</errorWord>
      <group>L1_Format</group>
      <groupName>格式问题</groupName>
      <ability>L2_HalfPunc</ability>
      <abilityName>全半角检查</abilityName>
      <candidateList>
        <item>）</item>
      </candidateList>
      <explain>文本全半角错误。</explain>
      <paraID>1C44E5C2</paraID>
      <start>18</start>
      <end>19</end>
      <status>unmodified</status>
      <modifiedWord/>
      <trackRevisions>false</trackRevisions>
    </reviewItem>
    <reviewItem>
      <errorID>21c363fe-eb5c-41bd-adc4-d5d19a644b19</errorID>
      <errorWord>,</errorWord>
      <group>L1_Format</group>
      <groupName>格式问题</groupName>
      <ability>L2_HalfPunc</ability>
      <abilityName>全半角检查</abilityName>
      <candidateList>
        <item>，</item>
      </candidateList>
      <explain>文本全半角错误。</explain>
      <paraID>263C18FF</paraID>
      <start>8</start>
      <end>9</end>
      <status>unmodified</status>
      <modifiedWord/>
      <trackRevisions>false</trackRevisions>
    </reviewItem>
    <reviewItem>
      <errorID>e5b123d3-c0ae-4bcb-841d-c3e55cae3b7c</errorID>
      <errorWord>)</errorWord>
      <group>L1_Format</group>
      <groupName>格式问题</groupName>
      <ability>L2_HalfPunc</ability>
      <abilityName>全半角检查</abilityName>
      <candidateList>
        <item>）</item>
      </candidateList>
      <explain>文本全半角错误。</explain>
      <paraID>263C18FF</paraID>
      <start>18</start>
      <end>19</end>
      <status>unmodified</status>
      <modifiedWord/>
      <trackRevisions>false</trackRevisions>
    </reviewItem>
    <reviewItem>
      <errorID>7ab934bd-98c1-4ffc-a2d9-2459a1c2dc8f</errorID>
      <errorWord>,</errorWord>
      <group>L1_Format</group>
      <groupName>格式问题</groupName>
      <ability>L2_HalfPunc</ability>
      <abilityName>全半角检查</abilityName>
      <candidateList>
        <item>，</item>
      </candidateList>
      <explain>文本全半角错误。</explain>
      <paraID>4454A62E</paraID>
      <start>9</start>
      <end>10</end>
      <status>unmodified</status>
      <modifiedWord/>
      <trackRevisions>false</trackRevisions>
    </reviewItem>
    <reviewItem>
      <errorID>92762935-ecd1-48d8-8d4f-5d201df4e96f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1E9994A7</paraID>
      <start>0</start>
      <end>2</end>
      <status>unmodified</status>
      <modifiedWord/>
      <trackRevisions>false</trackRevisions>
    </reviewItem>
    <reviewItem>
      <errorID>148f47e8-8e69-4870-afea-982959c8e96b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579E3C5C</paraID>
      <start>0</start>
      <end>2</end>
      <status>unmodified</status>
      <modifiedWord/>
      <trackRevisions>false</trackRevisions>
    </reviewItem>
    <reviewItem>
      <errorID>06dc7abb-d369-4cb9-8350-30cf96328a32</errorID>
      <errorWord>(</errorWord>
      <group>L1_Format</group>
      <groupName>格式问题</groupName>
      <ability>L2_HalfPunc</ability>
      <abilityName>全半角检查</abilityName>
      <candidateList>
        <item>（</item>
      </candidateList>
      <explain>文本全半角错误。</explain>
      <paraID>27F38DB8</paraID>
      <start>106</start>
      <end>107</end>
      <status>unmodified</status>
      <modifiedWord/>
      <trackRevisions>false</trackRevisions>
    </reviewItem>
    <reviewItem>
      <errorID>3bede2d8-61f8-46e7-aac8-88d602c47396</errorID>
      <errorWord>)</errorWord>
      <group>L1_Format</group>
      <groupName>格式问题</groupName>
      <ability>L2_HalfPunc</ability>
      <abilityName>全半角检查</abilityName>
      <candidateList>
        <item>）</item>
      </candidateList>
      <explain>文本全半角错误。</explain>
      <paraID>27F38DB8</paraID>
      <start>119</start>
      <end>120</end>
      <status>unmodified</status>
      <modifiedWord/>
      <trackRevisions>false</trackRevisions>
    </reviewItem>
    <reviewItem>
      <errorID>cf59c6c6-c661-4eb4-9808-0fe0ff989a60</errorID>
      <errorWord>&lt;</errorWord>
      <group>L1_Format</group>
      <groupName>格式问题</groupName>
      <ability>L2_HalfPunc</ability>
      <abilityName>全半角检查</abilityName>
      <candidateList>
        <item>〈</item>
      </candidateList>
      <explain>文本全半角错误。</explain>
      <paraID>27F38DB8</paraID>
      <start>132</start>
      <end>133</end>
      <status>unmodified</status>
      <modifiedWord/>
      <trackRevisions>false</trackRevisions>
    </reviewItem>
    <reviewItem>
      <errorID>60b3776e-1313-46b2-8fba-384ad87a8b02</errorID>
      <errorWord>&gt;的通知》</errorWord>
      <group>L1_Punc</group>
      <groupName>标点问题</groupName>
      <ability>L2_Punc</ability>
      <abilityName>标点符号检查</abilityName>
      <candidateList>
        <item>〉的通知》</item>
      </candidateList>
      <explain/>
      <paraID>27F38DB8</paraID>
      <start>154</start>
      <end>159</end>
      <status>unmodified</status>
      <modifiedWord/>
      <trackRevisions>false</trackRevisions>
    </reviewItem>
    <reviewItem>
      <errorID>50ae2b6a-20b4-455a-b8ed-2917a3876885</errorID>
      <errorWord>-</errorWord>
      <group>L1_Format</group>
      <groupName>格式问题</groupName>
      <ability>L2_HalfPunc</ability>
      <abilityName>全半角检查</abilityName>
      <candidateList>
        <item>－</item>
      </candidateList>
      <explain>文本全半角错误。</explain>
      <paraID>63A65858</paraID>
      <start>12</start>
      <end>13</end>
      <status>unmodified</status>
      <modifiedWord/>
      <trackRevisions>false</trackRevisions>
    </reviewItem>
    <reviewItem>
      <errorID>99f5d8bd-b3b7-4cd5-9fd0-9b971c1fa7dd</errorID>
      <errorWord>-</errorWord>
      <group>L1_Format</group>
      <groupName>格式问题</groupName>
      <ability>L2_HalfPunc</ability>
      <abilityName>全半角检查</abilityName>
      <candidateList>
        <item>－</item>
      </candidateList>
      <explain>文本全半角错误。</explain>
      <paraID>63A65858</paraID>
      <start>16</start>
      <end>17</end>
      <status>unmodified</status>
      <modifiedWord/>
      <trackRevisions>false</trackRevisions>
    </reviewItem>
    <reviewItem>
      <errorID>c16924c8-07da-47dd-9122-be6995f7e43e</errorID>
      <errorWord>-</errorWord>
      <group>L1_Format</group>
      <groupName>格式问题</groupName>
      <ability>L2_HalfPunc</ability>
      <abilityName>全半角检查</abilityName>
      <candidateList>
        <item>－</item>
      </candidateList>
      <explain>文本全半角错误。</explain>
      <paraID>63A65858</paraID>
      <start>20</start>
      <end>21</end>
      <status>unmodified</status>
      <modifiedWord/>
      <trackRevisions>false</trackRevisions>
    </reviewItem>
    <reviewItem>
      <errorID>6319caa7-6131-4868-87f6-95c04bc28b96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5455C5BB</paraID>
      <start>32</start>
      <end>33</end>
      <status>unmodified</status>
      <modifiedWord/>
      <trackRevisions>false</trackRevisions>
    </reviewItem>
    <reviewItem>
      <errorID>f37cbe00-e610-464c-bee4-5a8291fa8688</errorID>
      <errorWord>(</errorWord>
      <group>L1_Format</group>
      <groupName>格式问题</groupName>
      <ability>L2_HalfPunc</ability>
      <abilityName>全半角检查</abilityName>
      <candidateList>
        <item>（</item>
      </candidateList>
      <explain>文本全半角错误。</explain>
      <paraID>5455C5BB</paraID>
      <start>38</start>
      <end>39</end>
      <status>unmodified</status>
      <modifiedWord/>
      <trackRevisions>false</trackRevisions>
    </reviewItem>
    <reviewItem>
      <errorID>6bde6a9a-a3b0-4539-b05a-80624d83e43f</errorID>
      <errorWord>&lt;</errorWord>
      <group>L1_Format</group>
      <groupName>格式问题</groupName>
      <ability>L2_HalfPunc</ability>
      <abilityName>全半角检查</abilityName>
      <candidateList>
        <item>〈</item>
      </candidateList>
      <explain>文本全半角错误。</explain>
      <paraID>7668C169</paraID>
      <start>8</start>
      <end>9</end>
      <status>unmodified</status>
      <modifiedWord/>
      <trackRevisions>false</trackRevisions>
    </reviewItem>
    <reviewItem>
      <errorID>23db7cdf-5f66-4b01-859a-3660ecf48dbd</errorID>
      <errorWord>&gt;的通知》</errorWord>
      <group>L1_Punc</group>
      <groupName>标点问题</groupName>
      <ability>L2_Punc</ability>
      <abilityName>标点符号检查</abilityName>
      <candidateList>
        <item>〉的通知》</item>
      </candidateList>
      <explain/>
      <paraID>7668C169</paraID>
      <start>30</start>
      <end>35</end>
      <status>unmodified</status>
      <modifiedWord/>
      <trackRevisions>false</trackRevisions>
    </reviewItem>
    <reviewItem>
      <errorID>49b16e84-942c-443a-9e92-16842091a646</errorID>
      <errorWord>(</errorWord>
      <group>L1_Format</group>
      <groupName>格式问题</groupName>
      <ability>L2_HalfPunc</ability>
      <abilityName>全半角检查</abilityName>
      <candidateList>
        <item>（</item>
      </candidateList>
      <explain>文本全半角错误。</explain>
      <paraID>6F6C58F6</paraID>
      <start>21</start>
      <end>22</end>
      <status>unmodified</status>
      <modifiedWord/>
      <trackRevisions>false</trackRevisions>
    </reviewItem>
    <reviewItem>
      <errorID>3302a86b-cc34-43fb-9969-9f1aa4b305be</errorID>
      <errorWord>)</errorWord>
      <group>L1_Format</group>
      <groupName>格式问题</groupName>
      <ability>L2_HalfPunc</ability>
      <abilityName>全半角检查</abilityName>
      <candidateList>
        <item>）</item>
      </candidateList>
      <explain>文本全半角错误。</explain>
      <paraID>6F6C58F6</paraID>
      <start>25</start>
      <end>26</end>
      <status>unmodified</status>
      <modifiedWord/>
      <trackRevisions>false</trackRevisions>
    </reviewItem>
    <reviewItem>
      <errorID>20ca90ff-a942-4e13-b0b6-50aadef8bdbc</errorID>
      <errorWord>.</errorWord>
      <group>L1_Format</group>
      <groupName>格式问题</groupName>
      <ability>L2_HalfPunc</ability>
      <abilityName>全半角检查</abilityName>
      <candidateList>
        <item>。</item>
      </candidateList>
      <explain>文本全半角错误。</explain>
      <paraID> C4388B1</paraID>
      <start>72</start>
      <end>73</end>
      <status>unmodified</status>
      <modifiedWord/>
      <trackRevisions>false</trackRevisions>
    </reviewItem>
    <reviewItem>
      <errorID>a0cfa513-66c1-4058-b0bd-cfc2f16bc28b</errorID>
      <errorWord>.</errorWord>
      <group>L1_Format</group>
      <groupName>格式问题</groupName>
      <ability>L2_HalfPunc</ability>
      <abilityName>全半角检查</abilityName>
      <candidateList>
        <item>。</item>
      </candidateList>
      <explain>文本全半角错误。</explain>
      <paraID>190AD48D</paraID>
      <start>31</start>
      <end>32</end>
      <status>unmodified</status>
      <modifiedWord/>
      <trackRevisions>false</trackRevisions>
    </reviewItem>
    <reviewItem>
      <errorID>7b772857-2a0a-4525-bd05-787ffec9dd51</errorID>
      <errorWord>,</errorWord>
      <group>L1_Format</group>
      <groupName>格式问题</groupName>
      <ability>L2_HalfPunc</ability>
      <abilityName>全半角检查</abilityName>
      <candidateList>
        <item>，</item>
      </candidateList>
      <explain>文本全半角错误。</explain>
      <paraID>41AF5C2D</paraID>
      <start>20</start>
      <end>21</end>
      <status>unmodified</status>
      <modifiedWord/>
      <trackRevisions>false</trackRevisions>
    </reviewItem>
    <reviewItem>
      <errorID>ae10ba0c-c57e-4863-9692-0125ca73271a</errorID>
      <errorWord>，</errorWord>
      <group>L1_Word</group>
      <groupName>字词问题</groupName>
      <ability>L2_Typo</ability>
      <abilityName>字词错误</abilityName>
      <candidateList>
        <item>，包</item>
      </candidateList>
      <explain/>
      <paraID>28619049</paraID>
      <start>11</start>
      <end>12</end>
      <status>unmodified</status>
      <modifiedWord/>
      <trackRevisions>false</trackRevisions>
    </reviewItem>
    <reviewItem>
      <errorID>086c720c-b780-4d91-9ac1-bcc84051afa9</errorID>
      <errorWord>配备</errorWord>
      <group>L1_Grammar</group>
      <groupName>语法问题</groupName>
      <ability>L2_Grammar</ability>
      <abilityName>语法错误</abilityName>
      <candidateList>
        <item>搭载</item>
      </candidateList>
      <explain>“配备～项目”搭配不当，建议修改为“搭载～项目”。</explain>
      <paraID> 65D19D5</paraID>
      <start>52</start>
      <end>54</end>
      <status>unmodified</status>
      <modifiedWord/>
      <trackRevisions>false</trackRevisions>
    </reviewItem>
    <reviewItem>
      <errorID>3c1d24fa-c532-4bb0-b4de-a403597edaea</errorID>
      <errorWord>除非</errorWord>
      <group>L1_Word</group>
      <groupName>字词问题</groupName>
      <ability>L2_Typo</ability>
      <abilityName>字词错误</abilityName>
      <candidateList>
        <item>非</item>
      </candidateList>
      <explain/>
      <paraID>652D9BA7</paraID>
      <start>125</start>
      <end>127</end>
      <status>unmodified</status>
      <modifiedWord/>
      <trackRevisions>false</trackRevisions>
    </reviewItem>
    <reviewItem>
      <errorID>a8bec7c9-321b-4731-964b-3379e07fc357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A721752</paraID>
      <start>20</start>
      <end>23</end>
      <status>unmodified</status>
      <modifiedWord/>
      <trackRevisions>false</trackRevisions>
    </reviewItem>
    <reviewItem>
      <errorID>c1336d92-d7a2-4ae1-b898-9ec21de21586</errorID>
      <errorWord>、</errorWord>
      <group>L1_Punc</group>
      <groupName>标点问题</groupName>
      <ability>L2_Punc</ability>
      <abilityName>标点符号检查</abilityName>
      <candidateList>
        <item>.</item>
      </candidateList>
      <explain/>
      <paraID>632F4C0E</paraID>
      <start>1</start>
      <end>2</end>
      <status>unmodified</status>
      <modifiedWord/>
      <trackRevisions>false</trackRevisions>
    </reviewItem>
    <reviewItem>
      <errorID>bb4d61fe-8142-4f93-8d73-fc9d2c6c6ee8</errorID>
      <errorWord>、</errorWord>
      <group>L1_Punc</group>
      <groupName>标点问题</groupName>
      <ability>L2_Punc</ability>
      <abilityName>标点符号检查</abilityName>
      <candidateList>
        <item>.</item>
      </candidateList>
      <explain/>
      <paraID>697BE41E</paraID>
      <start>1</start>
      <end>2</end>
      <status>unmodified</status>
      <modifiedWord/>
      <trackRevisions>false</trackRevisions>
    </reviewItem>
    <reviewItem>
      <errorID>735705ae-6832-4da1-903f-143d61d3ebc4</errorID>
      <errorWord>除非</errorWord>
      <group>L1_Word</group>
      <groupName>字词问题</groupName>
      <ability>L2_Typo</ability>
      <abilityName>字词错误</abilityName>
      <candidateList>
        <item>非</item>
      </candidateList>
      <explain/>
      <paraID>5E396049</paraID>
      <start>119</start>
      <end>121</end>
      <status>unmodified</status>
      <modifiedWord/>
      <trackRevisions>false</trackRevisions>
    </reviewItem>
    <reviewItem>
      <errorID>040dff9e-39ff-4f1e-ba11-f9d334cecfa1</errorID>
      <errorWord>&lt;</errorWord>
      <group>L1_Format</group>
      <groupName>格式问题</groupName>
      <ability>L2_HalfPunc</ability>
      <abilityName>全半角检查</abilityName>
      <candidateList>
        <item>〈</item>
      </candidateList>
      <explain>文本全半角错误。</explain>
      <paraID>4944D011</paraID>
      <start>48</start>
      <end>49</end>
      <status>unmodified</status>
      <modifiedWord/>
      <trackRevisions>false</trackRevisions>
    </reviewItem>
    <reviewItem>
      <errorID>e84f13b3-bc92-48a4-838e-a16905647a4e</errorID>
      <errorWord>&lt;</errorWord>
      <group>L1_Format</group>
      <groupName>格式问题</groupName>
      <ability>L2_HalfPunc</ability>
      <abilityName>全半角检查</abilityName>
      <candidateList>
        <item>〈</item>
      </candidateList>
      <explain>文本全半角错误。</explain>
      <paraID> 325BA0B</paraID>
      <start>48</start>
      <end>49</end>
      <status>unmodified</status>
      <modifiedWord/>
      <trackRevisions>false</trackRevisions>
    </reviewItem>
    <reviewItem>
      <errorID>65c0a5fd-f536-487e-bad1-55a7149f58f6</errorID>
      <errorWord>&lt;</errorWord>
      <group>L1_Format</group>
      <groupName>格式问题</groupName>
      <ability>L2_HalfPunc</ability>
      <abilityName>全半角检查</abilityName>
      <candidateList>
        <item>〈</item>
      </candidateList>
      <explain>文本全半角错误。</explain>
      <paraID>71576602</paraID>
      <start>33</start>
      <end>34</end>
      <status>unmodified</status>
      <modifiedWord/>
      <trackRevisions>false</trackRevisions>
    </reviewItem>
    <reviewItem>
      <errorID>265f72af-1867-45f7-8c51-2e2759193790</errorID>
      <errorWord>，</errorWord>
      <group>L1_Word</group>
      <groupName>字词问题</groupName>
      <ability>L2_Typo</ability>
      <abilityName>字词错误</abilityName>
      <candidateList>
        <item>，并</item>
      </candidateList>
      <explain/>
      <paraID> 3A59A3C</paraID>
      <start>72</start>
      <end>73</end>
      <status>unmodified</status>
      <modifiedWord/>
      <trackRevisions>false</trackRevisions>
    </reviewItem>
    <reviewItem>
      <errorID>03e7afdc-b64a-4ceb-b9ae-a889f68b431f</errorID>
      <errorWord>&lt;</errorWord>
      <group>L1_Format</group>
      <groupName>格式问题</groupName>
      <ability>L2_HalfPunc</ability>
      <abilityName>全半角检查</abilityName>
      <candidateList>
        <item>〈</item>
      </candidateList>
      <explain>文本全半角错误。</explain>
      <paraID>5689BDC0</paraID>
      <start>64</start>
      <end>65</end>
      <status>unmodified</status>
      <modifiedWord/>
      <trackRevisions>false</trackRevisions>
    </reviewItem>
    <reviewItem>
      <errorID>d34131bc-f613-4bc9-9a01-9f02c14186f7</errorID>
      <errorWord>&gt;</errorWord>
      <group>L1_Format</group>
      <groupName>格式问题</groupName>
      <ability>L2_HalfPunc</ability>
      <abilityName>全半角检查</abilityName>
      <candidateList>
        <item>〉</item>
      </candidateList>
      <explain>文本全半角错误。</explain>
      <paraID>5689BDC0</paraID>
      <start>81</start>
      <end>82</end>
      <status>unmodified</status>
      <modifiedWord/>
      <trackRevisions>false</trackRevisions>
    </reviewItem>
    <reviewItem>
      <errorID>6c1d5186-2d79-49eb-b299-b3255ff76f67</errorID>
      <errorWord>&lt;</errorWord>
      <group>L1_Format</group>
      <groupName>格式问题</groupName>
      <ability>L2_HalfPunc</ability>
      <abilityName>全半角检查</abilityName>
      <candidateList>
        <item>〈</item>
      </candidateList>
      <explain>文本全半角错误。</explain>
      <paraID>7E288368</paraID>
      <start>149</start>
      <end>150</end>
      <status>unmodified</status>
      <modifiedWord/>
      <trackRevisions>false</trackRevisions>
    </reviewItem>
    <reviewItem>
      <errorID>365b40c1-9279-4e6a-a166-880c03882310</errorID>
      <errorWord>&gt;的通知》</errorWord>
      <group>L1_Punc</group>
      <groupName>标点问题</groupName>
      <ability>L2_Punc</ability>
      <abilityName>标点符号检查</abilityName>
      <candidateList>
        <item>〉的通知》</item>
      </candidateList>
      <explain/>
      <paraID>7E288368</paraID>
      <start>169</start>
      <end>174</end>
      <status>unmodified</status>
      <modifiedWord/>
      <trackRevisions>false</trackRevisions>
    </reviewItem>
    <reviewItem>
      <errorID>305e1b76-4716-412a-874b-ec9243595736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5C12EEE8</paraID>
      <start>16</start>
      <end>17</end>
      <status>unmodified</status>
      <modifiedWord/>
      <trackRevisions>false</trackRevisions>
    </reviewItem>
    <reviewItem>
      <errorID>0d4b193b-308a-44e1-a30d-64aa62dfc016</errorID>
      <errorWord>详实</errorWord>
      <group>L1_Word</group>
      <groupName>字词问题</groupName>
      <ability>L2_Typo</ability>
      <abilityName>字词错误</abilityName>
      <candidateList>
        <item>翔实</item>
      </candidateList>
      <explain>存在发音相同字词的误用。</explain>
      <paraID>65505F7F</paraID>
      <start>52</start>
      <end>54</end>
      <status>unmodified</status>
      <modifiedWord/>
      <trackRevisions>false</trackRevisions>
    </reviewItem>
    <reviewItem>
      <errorID>f8256a8b-956a-4337-a805-ea09f424fa11</errorID>
      <errorWord>方案方案</errorWord>
      <group>L1_Word</group>
      <groupName>字词问题</groupName>
      <ability>L2_Typo</ability>
      <abilityName>字词错误</abilityName>
      <candidateList>
        <item>方案</item>
      </candidateList>
      <explain/>
      <paraID>19A466B6</paraID>
      <start>104</start>
      <end>106</end>
      <status>modified</status>
      <modifiedWord>方案</modifiedWord>
      <trackRevisions>false</trackRevisions>
    </reviewItem>
    <reviewItem>
      <errorID>bdb75e56-55e3-4e7c-8dfc-4a7ca645deda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48E3491F</paraID>
      <start>43</start>
      <end>44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B28917-6DD2-498D-98C3-DCE87D746A0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WQQ</dc:creator>
  <cp:lastModifiedBy>王倩倩</cp:lastModifiedBy>
  <cp:revision>4</cp:revision>
  <dcterms:created xsi:type="dcterms:W3CDTF">2025-04-09T03:31:00Z</dcterms:created>
  <dcterms:modified xsi:type="dcterms:W3CDTF">2026-05-19T08:28:40Z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193765F367EF45B681113F1207D76F6F_13</vt:lpwstr>
  </property>
  <property fmtid="{D5CDD505-2E9C-101B-9397-08002B2CF9AE}" pid="4" name="KSOTemplateDocerSaveRecord">
    <vt:lpwstr>eyJoZGlkIjoiZmNiODM5MDNkYjVmN2RmYjAxNjc2OTE3Y2I0MjUyMjEiLCJ1c2VySWQiOiIyMjg5NDQyNjYifQ==</vt:lpwstr>
  </property>
</Properties>
</file>